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6624"/>
            <w:shd w:val="clear" w:color="auto" w:fill="0B40C1"/>
            <w:tcMar>
              <w:top w:w="220" w:type="dxa"/>
              <w:bottom w:w="220" w:type="dxa"/>
              <w:start w:w="260" w:type="dxa"/>
              <w:end w:w="260" w:type="dxa"/>
            </w:tcMar>
          </w:tcPr>
          <w:p>
            <w:pPr>
              <w:spacing w:after="0"/>
              <w:jc w:val="center"/>
            </w:pPr>
            <w:r>
              <w:rPr>
                <w:rFonts w:ascii="Calibri" w:hAnsi="Calibri"/>
                <w:b/>
                <w:i w:val="0"/>
                <w:color w:val="FFFFFF"/>
                <w:sz w:val="24"/>
              </w:rPr>
              <w:t>JD FUNNEL  ·  SALES INTELLIGENCE</w:t>
            </w:r>
          </w:p>
        </w:tc>
      </w:tr>
    </w:tbl>
    <w:p>
      <w:pPr>
        <w:spacing w:after="200" w:before="0"/>
      </w:pPr>
    </w:p>
    <w:p>
      <w:pPr>
        <w:spacing w:after="40" w:before="0"/>
        <w:jc w:val="center"/>
      </w:pPr>
      <w:r>
        <w:rPr>
          <w:rFonts w:ascii="Calibri" w:hAnsi="Calibri"/>
          <w:b/>
          <w:i w:val="0"/>
          <w:color w:val="0B40C1"/>
          <w:sz w:val="88"/>
        </w:rPr>
        <w:t>Sales Coach</w:t>
      </w:r>
    </w:p>
    <w:p>
      <w:pPr>
        <w:spacing w:after="280" w:before="0"/>
        <w:jc w:val="center"/>
      </w:pPr>
      <w:r>
        <w:rPr>
          <w:rFonts w:ascii="Calibri" w:hAnsi="Calibri"/>
          <w:b w:val="0"/>
          <w:i w:val="0"/>
          <w:color w:val="1570EF"/>
          <w:sz w:val="52"/>
        </w:rPr>
        <w:t>User Guide</w:t>
      </w:r>
    </w:p>
    <w:p>
      <w:pPr>
        <w:spacing w:after="600" w:before="0"/>
        <w:jc w:val="center"/>
      </w:pPr>
      <w:r>
        <w:rPr>
          <w:rFonts w:ascii="Calibri" w:hAnsi="Calibri"/>
          <w:b w:val="0"/>
          <w:i/>
          <w:color w:val="667085"/>
          <w:sz w:val="26"/>
        </w:rPr>
        <w:t>Your everyday guide to reading calls, coaching your team,</w:t>
        <w:br/>
        <w:t>and getting the highest scores.</w:t>
      </w:r>
    </w:p>
    <w:p>
      <w:pPr>
        <w:spacing w:after="40" w:before="0"/>
        <w:jc w:val="center"/>
      </w:pPr>
      <w:r>
        <w:rPr>
          <w:rFonts w:ascii="Calibri" w:hAnsi="Calibri"/>
          <w:b w:val="0"/>
          <w:i w:val="0"/>
          <w:color w:val="101828"/>
          <w:sz w:val="24"/>
        </w:rPr>
        <w:t>Every Zoom call, scored and coached automatically.</w:t>
      </w:r>
    </w:p>
    <w:p>
      <w:pPr>
        <w:spacing w:after="120" w:before="0"/>
        <w:jc w:val="center"/>
      </w:pPr>
      <w:r>
        <w:rPr>
          <w:rFonts w:ascii="Calibri" w:hAnsi="Calibri"/>
          <w:b w:val="0"/>
          <w:i w:val="0"/>
          <w:color w:val="667085"/>
          <w:sz w:val="22"/>
        </w:rPr>
        <w:t>For sales reps, managers and administrators.</w:t>
      </w:r>
    </w:p>
    <w:p>
      <w:r>
        <w:br w:type="page"/>
      </w:r>
    </w:p>
    <w:p>
      <w:pPr>
        <w:pStyle w:val="Heading1"/>
      </w:pPr>
      <w:r>
        <w:t>What's inside</w:t>
      </w:r>
    </w:p>
    <w:p>
      <w:pPr>
        <w:spacing w:after="80"/>
      </w:pPr>
      <w:r>
        <w:rPr>
          <w:rFonts w:ascii="Calibri" w:hAnsi="Calibri"/>
          <w:b w:val="0"/>
          <w:i w:val="0"/>
          <w:color w:val="101828"/>
          <w:sz w:val="24"/>
        </w:rPr>
        <w:t>1.  Welcome to Sales Coach</w:t>
      </w:r>
    </w:p>
    <w:p>
      <w:pPr>
        <w:spacing w:after="80"/>
      </w:pPr>
      <w:r>
        <w:rPr>
          <w:rFonts w:ascii="Calibri" w:hAnsi="Calibri"/>
          <w:b w:val="0"/>
          <w:i w:val="0"/>
          <w:color w:val="101828"/>
          <w:sz w:val="24"/>
        </w:rPr>
        <w:t>2.  How a call gets here</w:t>
      </w:r>
    </w:p>
    <w:p>
      <w:pPr>
        <w:spacing w:after="80"/>
      </w:pPr>
      <w:r>
        <w:rPr>
          <w:rFonts w:ascii="Calibri" w:hAnsi="Calibri"/>
          <w:b w:val="0"/>
          <w:i w:val="0"/>
          <w:color w:val="101828"/>
          <w:sz w:val="24"/>
        </w:rPr>
        <w:t>3.  Signing in</w:t>
      </w:r>
    </w:p>
    <w:p>
      <w:pPr>
        <w:spacing w:after="80"/>
      </w:pPr>
      <w:r>
        <w:rPr>
          <w:rFonts w:ascii="Calibri" w:hAnsi="Calibri"/>
          <w:b w:val="0"/>
          <w:i w:val="0"/>
          <w:color w:val="101828"/>
          <w:sz w:val="24"/>
        </w:rPr>
        <w:t>4.  Who sees what (roles)</w:t>
      </w:r>
    </w:p>
    <w:p>
      <w:pPr>
        <w:spacing w:after="80"/>
      </w:pPr>
      <w:r>
        <w:rPr>
          <w:rFonts w:ascii="Calibri" w:hAnsi="Calibri"/>
          <w:b w:val="0"/>
          <w:i w:val="0"/>
          <w:color w:val="101828"/>
          <w:sz w:val="24"/>
        </w:rPr>
        <w:t>5.  The dashboard at a glance</w:t>
      </w:r>
    </w:p>
    <w:p>
      <w:pPr>
        <w:spacing w:after="80"/>
      </w:pPr>
      <w:r>
        <w:rPr>
          <w:rFonts w:ascii="Calibri" w:hAnsi="Calibri"/>
          <w:b w:val="0"/>
          <w:i w:val="0"/>
          <w:color w:val="101828"/>
          <w:sz w:val="24"/>
        </w:rPr>
        <w:t>6.  Recent Calls</w:t>
      </w:r>
    </w:p>
    <w:p>
      <w:pPr>
        <w:spacing w:after="80"/>
      </w:pPr>
      <w:r>
        <w:rPr>
          <w:rFonts w:ascii="Calibri" w:hAnsi="Calibri"/>
          <w:b w:val="0"/>
          <w:i w:val="0"/>
          <w:color w:val="101828"/>
          <w:sz w:val="24"/>
        </w:rPr>
        <w:t>7.  Opening a call: the full breakdown</w:t>
      </w:r>
    </w:p>
    <w:p>
      <w:pPr>
        <w:spacing w:after="80"/>
      </w:pPr>
      <w:r>
        <w:rPr>
          <w:rFonts w:ascii="Calibri" w:hAnsi="Calibri"/>
          <w:b w:val="0"/>
          <w:i w:val="0"/>
          <w:color w:val="101828"/>
          <w:sz w:val="24"/>
        </w:rPr>
        <w:t>8.  Fixing the deal stage</w:t>
      </w:r>
    </w:p>
    <w:p>
      <w:pPr>
        <w:spacing w:after="80"/>
      </w:pPr>
      <w:r>
        <w:rPr>
          <w:rFonts w:ascii="Calibri" w:hAnsi="Calibri"/>
          <w:b w:val="0"/>
          <w:i w:val="0"/>
          <w:color w:val="101828"/>
          <w:sz w:val="24"/>
        </w:rPr>
        <w:t>9.  Sending the follow-up (SMS &amp; email)</w:t>
      </w:r>
    </w:p>
    <w:p>
      <w:pPr>
        <w:spacing w:after="80"/>
      </w:pPr>
      <w:r>
        <w:rPr>
          <w:rFonts w:ascii="Calibri" w:hAnsi="Calibri"/>
          <w:b w:val="0"/>
          <w:i w:val="0"/>
          <w:color w:val="101828"/>
          <w:sz w:val="24"/>
        </w:rPr>
        <w:t>10. Leaderboard</w:t>
      </w:r>
    </w:p>
    <w:p>
      <w:pPr>
        <w:spacing w:after="80"/>
      </w:pPr>
      <w:r>
        <w:rPr>
          <w:rFonts w:ascii="Calibri" w:hAnsi="Calibri"/>
          <w:b w:val="0"/>
          <w:i w:val="0"/>
          <w:color w:val="101828"/>
          <w:sz w:val="24"/>
        </w:rPr>
        <w:t>11. Deal Stage Breakdown &amp; Score Trend</w:t>
      </w:r>
    </w:p>
    <w:p>
      <w:pPr>
        <w:spacing w:after="80"/>
      </w:pPr>
      <w:r>
        <w:rPr>
          <w:rFonts w:ascii="Calibri" w:hAnsi="Calibri"/>
          <w:b w:val="0"/>
          <w:i w:val="0"/>
          <w:color w:val="101828"/>
          <w:sz w:val="24"/>
        </w:rPr>
        <w:t>12. Improvement Plan by Deal Stage</w:t>
      </w:r>
    </w:p>
    <w:p>
      <w:pPr>
        <w:spacing w:after="80"/>
      </w:pPr>
      <w:r>
        <w:rPr>
          <w:rFonts w:ascii="Calibri" w:hAnsi="Calibri"/>
          <w:b w:val="0"/>
          <w:i w:val="0"/>
          <w:color w:val="101828"/>
          <w:sz w:val="24"/>
        </w:rPr>
        <w:t>13. Understanding your score (and how to reach the top)</w:t>
      </w:r>
    </w:p>
    <w:p>
      <w:pPr>
        <w:spacing w:after="80"/>
      </w:pPr>
      <w:r>
        <w:rPr>
          <w:rFonts w:ascii="Calibri" w:hAnsi="Calibri"/>
          <w:b w:val="0"/>
          <w:i w:val="0"/>
          <w:color w:val="101828"/>
          <w:sz w:val="24"/>
        </w:rPr>
        <w:t>14. Failed calls &amp; the recovery page</w:t>
      </w:r>
    </w:p>
    <w:p>
      <w:pPr>
        <w:spacing w:after="80"/>
      </w:pPr>
      <w:r>
        <w:rPr>
          <w:rFonts w:ascii="Calibri" w:hAnsi="Calibri"/>
          <w:b w:val="0"/>
          <w:i w:val="0"/>
          <w:color w:val="101828"/>
          <w:sz w:val="24"/>
        </w:rPr>
        <w:t>15. For administrators</w:t>
      </w:r>
    </w:p>
    <w:p>
      <w:pPr>
        <w:spacing w:after="80"/>
      </w:pPr>
      <w:r>
        <w:rPr>
          <w:rFonts w:ascii="Calibri" w:hAnsi="Calibri"/>
          <w:b w:val="0"/>
          <w:i w:val="0"/>
          <w:color w:val="101828"/>
          <w:sz w:val="24"/>
        </w:rPr>
        <w:t>16. Everyday tips &amp; pre-call checklist</w:t>
      </w:r>
    </w:p>
    <w:p>
      <w:pPr>
        <w:spacing w:after="80"/>
      </w:pPr>
      <w:r>
        <w:rPr>
          <w:rFonts w:ascii="Calibri" w:hAnsi="Calibri"/>
          <w:b w:val="0"/>
          <w:i w:val="0"/>
          <w:color w:val="101828"/>
          <w:sz w:val="24"/>
        </w:rPr>
        <w:t>17. Questions &amp; quick fixes</w:t>
      </w:r>
    </w:p>
    <w:p>
      <w:r>
        <w:br w:type="page"/>
      </w:r>
    </w:p>
    <w:p/>
    <w:p>
      <w:pPr>
        <w:pStyle w:val="Heading1"/>
      </w:pPr>
      <w:r>
        <w:t>1.  Welcome to Sales Coach</w:t>
      </w:r>
    </w:p>
    <w:p>
      <w:pPr>
        <w:spacing w:after="120" w:before="0"/>
      </w:pPr>
      <w:r>
        <w:rPr>
          <w:rFonts w:ascii="Calibri" w:hAnsi="Calibri"/>
          <w:b w:val="0"/>
          <w:i w:val="0"/>
          <w:color w:val="101828"/>
          <w:sz w:val="22"/>
        </w:rPr>
        <w:t>Sales Coach is your team’s automatic call assistant. After every Zoom call, it listens to the conversation, understands what happened, and turns it into clear, useful information on one simple dashboard — with no manual work from you.</w:t>
      </w:r>
    </w:p>
    <w:p>
      <w:pPr>
        <w:spacing w:after="120" w:before="0"/>
      </w:pPr>
      <w:r>
        <w:rPr>
          <w:rFonts w:ascii="Calibri" w:hAnsi="Calibri"/>
          <w:b w:val="0"/>
          <w:i w:val="0"/>
          <w:color w:val="101828"/>
          <w:sz w:val="22"/>
        </w:rPr>
        <w:t>For each call it gives you:</w:t>
      </w:r>
    </w:p>
    <w:p>
      <w:pPr>
        <w:pStyle w:val="ListBullet"/>
        <w:spacing w:after="60"/>
      </w:pPr>
      <w:r>
        <w:rPr>
          <w:rFonts w:ascii="Calibri" w:hAnsi="Calibri"/>
          <w:b/>
          <w:i w:val="0"/>
          <w:color w:val="101828"/>
          <w:sz w:val="22"/>
        </w:rPr>
        <w:t xml:space="preserve">A score.  </w:t>
      </w:r>
      <w:r>
        <w:rPr>
          <w:rFonts w:ascii="Calibri" w:hAnsi="Calibri"/>
          <w:b w:val="0"/>
          <w:i w:val="0"/>
          <w:color w:val="101828"/>
          <w:sz w:val="22"/>
        </w:rPr>
        <w:t>A performance score out of 100, so you can see at a glance how the call went.</w:t>
      </w:r>
    </w:p>
    <w:p>
      <w:pPr>
        <w:pStyle w:val="ListBullet"/>
        <w:spacing w:after="60"/>
      </w:pPr>
      <w:r>
        <w:rPr>
          <w:rFonts w:ascii="Calibri" w:hAnsi="Calibri"/>
          <w:b/>
          <w:i w:val="0"/>
          <w:color w:val="101828"/>
          <w:sz w:val="22"/>
        </w:rPr>
        <w:t xml:space="preserve">A summary.  </w:t>
      </w:r>
      <w:r>
        <w:rPr>
          <w:rFonts w:ascii="Calibri" w:hAnsi="Calibri"/>
          <w:b w:val="0"/>
          <w:i w:val="0"/>
          <w:color w:val="101828"/>
          <w:sz w:val="22"/>
        </w:rPr>
        <w:t>A short, plain-English summary of what was discussed.</w:t>
      </w:r>
    </w:p>
    <w:p>
      <w:pPr>
        <w:pStyle w:val="ListBullet"/>
        <w:spacing w:after="60"/>
      </w:pPr>
      <w:r>
        <w:rPr>
          <w:rFonts w:ascii="Calibri" w:hAnsi="Calibri"/>
          <w:b/>
          <w:i w:val="0"/>
          <w:color w:val="101828"/>
          <w:sz w:val="22"/>
        </w:rPr>
        <w:t xml:space="preserve">Coaching.  </w:t>
      </w:r>
      <w:r>
        <w:rPr>
          <w:rFonts w:ascii="Calibri" w:hAnsi="Calibri"/>
          <w:b w:val="0"/>
          <w:i w:val="0"/>
          <w:color w:val="101828"/>
          <w:sz w:val="22"/>
        </w:rPr>
        <w:t>What went well and what could be improved, specific to that call.</w:t>
      </w:r>
    </w:p>
    <w:p>
      <w:pPr>
        <w:pStyle w:val="ListBullet"/>
        <w:spacing w:after="60"/>
      </w:pPr>
      <w:r>
        <w:rPr>
          <w:rFonts w:ascii="Calibri" w:hAnsi="Calibri"/>
          <w:b/>
          <w:i w:val="0"/>
          <w:color w:val="101828"/>
          <w:sz w:val="22"/>
        </w:rPr>
        <w:t xml:space="preserve">Objections.  </w:t>
      </w:r>
      <w:r>
        <w:rPr>
          <w:rFonts w:ascii="Calibri" w:hAnsi="Calibri"/>
          <w:b w:val="0"/>
          <w:i w:val="0"/>
          <w:color w:val="101828"/>
          <w:sz w:val="22"/>
        </w:rPr>
        <w:t>The objections the prospect raised.</w:t>
      </w:r>
    </w:p>
    <w:p>
      <w:pPr>
        <w:pStyle w:val="ListBullet"/>
        <w:spacing w:after="60"/>
      </w:pPr>
      <w:r>
        <w:rPr>
          <w:rFonts w:ascii="Calibri" w:hAnsi="Calibri"/>
          <w:b/>
          <w:i w:val="0"/>
          <w:color w:val="101828"/>
          <w:sz w:val="22"/>
        </w:rPr>
        <w:t xml:space="preserve">Follow-ups.  </w:t>
      </w:r>
      <w:r>
        <w:rPr>
          <w:rFonts w:ascii="Calibri" w:hAnsi="Calibri"/>
          <w:b w:val="0"/>
          <w:i w:val="0"/>
          <w:color w:val="101828"/>
          <w:sz w:val="22"/>
        </w:rPr>
        <w:t>A ready-to-send follow-up text message and email, written for you.</w:t>
      </w:r>
    </w:p>
    <w:p>
      <w:pPr>
        <w:pStyle w:val="ListBullet"/>
        <w:spacing w:after="60"/>
      </w:pPr>
      <w:r>
        <w:rPr>
          <w:rFonts w:ascii="Calibri" w:hAnsi="Calibri"/>
          <w:b/>
          <w:i w:val="0"/>
          <w:color w:val="101828"/>
          <w:sz w:val="22"/>
        </w:rPr>
        <w:t xml:space="preserve">A plan.  </w:t>
      </w:r>
      <w:r>
        <w:rPr>
          <w:rFonts w:ascii="Calibri" w:hAnsi="Calibri"/>
          <w:b w:val="0"/>
          <w:i w:val="0"/>
          <w:color w:val="101828"/>
          <w:sz w:val="22"/>
        </w:rPr>
        <w:t>A personal improvement plan built from all of a rep’s calls together.</w:t>
      </w:r>
    </w:p>
    <w:tbl>
      <w:tblPr>
        <w:tblW w:type="auto" w:w="0"/>
        <w:jc w:val="center"/>
        <w:tblLayout w:type="autofit"/>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9648"/>
            <w:shd w:val="clear" w:color="auto" w:fill="EAF2FE"/>
            <w:tcBorders>
              <w:left w:val="single" w:sz="24" w:space="0" w:color="0B40C1"/>
            </w:tcBorders>
            <w:tcMar>
              <w:top w:w="100" w:type="dxa"/>
              <w:bottom w:w="100" w:type="dxa"/>
              <w:start w:w="160" w:type="dxa"/>
              <w:end w:w="160" w:type="dxa"/>
            </w:tcMar>
          </w:tcPr>
          <w:p>
            <w:pPr>
              <w:spacing w:after="60"/>
            </w:pPr>
            <w:r/>
            <w:r>
              <w:rPr>
                <w:rFonts w:ascii="Calibri" w:hAnsi="Calibri"/>
                <w:b/>
                <w:i w:val="0"/>
                <w:color w:val="0B40C1"/>
                <w:sz w:val="22"/>
              </w:rPr>
              <w:t>In one sentence</w:t>
            </w:r>
          </w:p>
          <w:p>
            <w:pPr>
              <w:spacing w:after="40"/>
            </w:pPr>
            <w:r>
              <w:rPr>
                <w:rFonts w:ascii="Calibri" w:hAnsi="Calibri"/>
                <w:b w:val="0"/>
                <w:i w:val="0"/>
                <w:color w:val="101828"/>
                <w:sz w:val="22"/>
              </w:rPr>
              <w:t>Sales Coach quietly turns every recorded call into a score, a summary, coaching and ready-made follow-ups — so your team can sell better without taking notes.</w:t>
            </w:r>
          </w:p>
        </w:tc>
      </w:tr>
    </w:tbl>
    <w:p>
      <w:pPr>
        <w:spacing w:after="40"/>
      </w:pPr>
    </w:p>
    <w:p/>
    <w:p>
      <w:pPr>
        <w:pStyle w:val="Heading1"/>
      </w:pPr>
      <w:r>
        <w:t>2.  How a call gets here</w:t>
      </w:r>
    </w:p>
    <w:p>
      <w:pPr>
        <w:spacing w:after="120" w:before="0"/>
      </w:pPr>
      <w:r>
        <w:rPr>
          <w:rFonts w:ascii="Calibri" w:hAnsi="Calibri"/>
          <w:b w:val="0"/>
          <w:i w:val="0"/>
          <w:color w:val="101828"/>
          <w:sz w:val="22"/>
        </w:rPr>
        <w:t>You don’t have to upload anything or press any buttons. The whole journey is automatic:</w:t>
      </w:r>
    </w:p>
    <w:p>
      <w:pPr>
        <w:pStyle w:val="ListNumber"/>
        <w:spacing w:after="60"/>
      </w:pPr>
      <w:r>
        <w:rPr>
          <w:rFonts w:ascii="Calibri" w:hAnsi="Calibri"/>
          <w:b/>
          <w:i w:val="0"/>
          <w:color w:val="101828"/>
          <w:sz w:val="22"/>
        </w:rPr>
        <w:t xml:space="preserve">You take the call.  </w:t>
      </w:r>
      <w:r>
        <w:rPr>
          <w:rFonts w:ascii="Calibri" w:hAnsi="Calibri"/>
          <w:b w:val="0"/>
          <w:i w:val="0"/>
          <w:color w:val="101828"/>
          <w:sz w:val="22"/>
        </w:rPr>
        <w:t>You run your call on Zoom with cloud recording turned on.</w:t>
      </w:r>
    </w:p>
    <w:p>
      <w:pPr>
        <w:pStyle w:val="ListNumber"/>
        <w:spacing w:after="60"/>
      </w:pPr>
      <w:r>
        <w:rPr>
          <w:rFonts w:ascii="Calibri" w:hAnsi="Calibri"/>
          <w:b/>
          <w:i w:val="0"/>
          <w:color w:val="101828"/>
          <w:sz w:val="22"/>
        </w:rPr>
        <w:t xml:space="preserve">Zoom processes it.  </w:t>
      </w:r>
      <w:r>
        <w:rPr>
          <w:rFonts w:ascii="Calibri" w:hAnsi="Calibri"/>
          <w:b w:val="0"/>
          <w:i w:val="0"/>
          <w:color w:val="101828"/>
          <w:sz w:val="22"/>
        </w:rPr>
        <w:t>When the call ends, Zoom records it and prepares a transcript. This usually takes 5–15 minutes.</w:t>
      </w:r>
    </w:p>
    <w:p>
      <w:pPr>
        <w:pStyle w:val="ListNumber"/>
        <w:spacing w:after="60"/>
      </w:pPr>
      <w:r>
        <w:rPr>
          <w:rFonts w:ascii="Calibri" w:hAnsi="Calibri"/>
          <w:b/>
          <w:i w:val="0"/>
          <w:color w:val="101828"/>
          <w:sz w:val="22"/>
        </w:rPr>
        <w:t xml:space="preserve">Sales Coach reads it.  </w:t>
      </w:r>
      <w:r>
        <w:rPr>
          <w:rFonts w:ascii="Calibri" w:hAnsi="Calibri"/>
          <w:b w:val="0"/>
          <w:i w:val="0"/>
          <w:color w:val="101828"/>
          <w:sz w:val="22"/>
        </w:rPr>
        <w:t>Sales Coach receives the transcript automatically and reads the whole conversation.</w:t>
      </w:r>
    </w:p>
    <w:p>
      <w:pPr>
        <w:pStyle w:val="ListNumber"/>
        <w:spacing w:after="60"/>
      </w:pPr>
      <w:r>
        <w:rPr>
          <w:rFonts w:ascii="Calibri" w:hAnsi="Calibri"/>
          <w:b/>
          <w:i w:val="0"/>
          <w:color w:val="101828"/>
          <w:sz w:val="22"/>
        </w:rPr>
        <w:t xml:space="preserve">It appears.  </w:t>
      </w:r>
      <w:r>
        <w:rPr>
          <w:rFonts w:ascii="Calibri" w:hAnsi="Calibri"/>
          <w:b w:val="0"/>
          <w:i w:val="0"/>
          <w:color w:val="101828"/>
          <w:sz w:val="22"/>
        </w:rPr>
        <w:t>The score, summary, coaching and follow-ups appear on your dashboard, ready to use.</w:t>
      </w:r>
    </w:p>
    <w:tbl>
      <w:tblPr>
        <w:tblW w:type="auto" w:w="0"/>
        <w:jc w:val="center"/>
        <w:tblLayout w:type="autofit"/>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9648"/>
            <w:shd w:val="clear" w:color="auto" w:fill="FFFAEB"/>
            <w:tcBorders>
              <w:left w:val="single" w:sz="24" w:space="0" w:color="B54708"/>
            </w:tcBorders>
            <w:tcMar>
              <w:top w:w="100" w:type="dxa"/>
              <w:bottom w:w="100" w:type="dxa"/>
              <w:start w:w="160" w:type="dxa"/>
              <w:end w:w="160" w:type="dxa"/>
            </w:tcMar>
          </w:tcPr>
          <w:p>
            <w:pPr>
              <w:spacing w:after="60"/>
            </w:pPr>
            <w:r/>
            <w:r>
              <w:rPr>
                <w:rFonts w:ascii="Calibri" w:hAnsi="Calibri"/>
                <w:b/>
                <w:i w:val="0"/>
                <w:color w:val="B54708"/>
                <w:sz w:val="22"/>
              </w:rPr>
              <w:t>Good to know</w:t>
            </w:r>
          </w:p>
          <w:p>
            <w:pPr>
              <w:spacing w:after="40"/>
            </w:pPr>
            <w:r>
              <w:rPr>
                <w:rFonts w:ascii="Calibri" w:hAnsi="Calibri"/>
                <w:b/>
                <w:i w:val="0"/>
                <w:color w:val="B54708"/>
                <w:sz w:val="22"/>
              </w:rPr>
              <w:t xml:space="preserve">Be patient after a call.  </w:t>
            </w:r>
            <w:r>
              <w:rPr>
                <w:rFonts w:ascii="Calibri" w:hAnsi="Calibri"/>
                <w:b w:val="0"/>
                <w:i w:val="0"/>
                <w:color w:val="101828"/>
                <w:sz w:val="22"/>
              </w:rPr>
              <w:t>A call will not appear the instant you hang up. Give Zoom around 5 to 15 minutes to finish processing the recording, then refresh your dashboard.</w:t>
            </w:r>
          </w:p>
          <w:p>
            <w:pPr>
              <w:spacing w:after="40"/>
            </w:pPr>
            <w:r>
              <w:rPr>
                <w:rFonts w:ascii="Calibri" w:hAnsi="Calibri"/>
                <w:b/>
                <w:i w:val="0"/>
                <w:color w:val="B54708"/>
                <w:sz w:val="22"/>
              </w:rPr>
              <w:t xml:space="preserve">Nothing is ever lost.  </w:t>
            </w:r>
            <w:r>
              <w:rPr>
                <w:rFonts w:ascii="Calibri" w:hAnsi="Calibri"/>
                <w:b w:val="0"/>
                <w:i w:val="0"/>
                <w:color w:val="101828"/>
                <w:sz w:val="22"/>
              </w:rPr>
              <w:t>In the rare case the analysis can’t complete, the call is still saved safely and can be recovered in one click — see section 14.</w:t>
            </w:r>
          </w:p>
        </w:tc>
      </w:tr>
    </w:tbl>
    <w:p>
      <w:pPr>
        <w:spacing w:after="40"/>
      </w:pPr>
    </w:p>
    <w:p/>
    <w:p>
      <w:pPr>
        <w:pStyle w:val="Heading1"/>
      </w:pPr>
      <w:r>
        <w:t>3.  Signing in</w:t>
      </w:r>
    </w:p>
    <w:p>
      <w:pPr>
        <w:spacing w:after="120" w:before="0"/>
      </w:pPr>
      <w:r>
        <w:rPr>
          <w:rFonts w:ascii="Calibri" w:hAnsi="Calibri"/>
          <w:b w:val="0"/>
          <w:i w:val="0"/>
          <w:color w:val="101828"/>
          <w:sz w:val="22"/>
        </w:rPr>
        <w:t>Sales Coach is private to your organization, so it starts with a sign-in screen.</w:t>
      </w:r>
    </w:p>
    <w:p>
      <w:pPr>
        <w:pStyle w:val="ListNumber"/>
        <w:spacing w:after="60"/>
      </w:pPr>
      <w:r>
        <w:rPr>
          <w:rFonts w:ascii="Calibri" w:hAnsi="Calibri"/>
          <w:b w:val="0"/>
          <w:i w:val="0"/>
          <w:color w:val="101828"/>
          <w:sz w:val="22"/>
        </w:rPr>
        <w:t>Open the sign-in page in your browser (your administrator will share the link).</w:t>
      </w:r>
    </w:p>
    <w:p>
      <w:pPr>
        <w:pStyle w:val="ListNumber"/>
        <w:spacing w:after="60"/>
      </w:pPr>
      <w:r>
        <w:rPr>
          <w:rFonts w:ascii="Calibri" w:hAnsi="Calibri"/>
          <w:b w:val="0"/>
          <w:i w:val="0"/>
          <w:color w:val="101828"/>
          <w:sz w:val="22"/>
        </w:rPr>
        <w:t>Enter your email address and password, then choose Sign in.</w:t>
      </w:r>
    </w:p>
    <w:p>
      <w:pPr>
        <w:pStyle w:val="ListNumber"/>
        <w:spacing w:after="60"/>
      </w:pPr>
      <w:r>
        <w:rPr>
          <w:rFonts w:ascii="Calibri" w:hAnsi="Calibri"/>
          <w:b w:val="0"/>
          <w:i w:val="0"/>
          <w:color w:val="101828"/>
          <w:sz w:val="22"/>
        </w:rPr>
        <w:t>You’ll land on your dashboard.</w:t>
      </w:r>
    </w:p>
    <w:p>
      <w:pPr>
        <w:spacing w:after="120" w:before="0"/>
      </w:pPr>
    </w:p>
    <w:p>
      <w:pPr>
        <w:pStyle w:val="Heading2"/>
      </w:pPr>
      <w:r>
        <w:t>First time here?</w:t>
      </w:r>
    </w:p>
    <w:p>
      <w:pPr>
        <w:spacing w:after="120" w:before="0"/>
      </w:pPr>
      <w:r>
        <w:rPr>
          <w:rFonts w:ascii="Calibri" w:hAnsi="Calibri"/>
          <w:b w:val="0"/>
          <w:i w:val="0"/>
          <w:color w:val="101828"/>
          <w:sz w:val="22"/>
        </w:rPr>
        <w:t>Your administrator creates your account and gives you a one-time password. Sign in with it, then change it to something only you know.</w:t>
      </w:r>
    </w:p>
    <w:p>
      <w:pPr>
        <w:pStyle w:val="Heading2"/>
      </w:pPr>
      <w:r>
        <w:t>Forgot your password?</w:t>
      </w:r>
    </w:p>
    <w:p>
      <w:pPr>
        <w:spacing w:after="120" w:before="0"/>
      </w:pPr>
      <w:r>
        <w:rPr>
          <w:rFonts w:ascii="Calibri" w:hAnsi="Calibri"/>
          <w:b w:val="0"/>
          <w:i w:val="0"/>
          <w:color w:val="101828"/>
          <w:sz w:val="22"/>
        </w:rPr>
        <w:t>Choose Forgot password? on the sign-in screen and follow the steps. You’ll receive a link to set a new one.</w:t>
      </w:r>
    </w:p>
    <w:tbl>
      <w:tblPr>
        <w:tblW w:type="auto" w:w="0"/>
        <w:jc w:val="center"/>
        <w:tblLayout w:type="autofit"/>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9648"/>
            <w:shd w:val="clear" w:color="auto" w:fill="F2F4F7"/>
            <w:tcBorders>
              <w:left w:val="single" w:sz="24" w:space="0" w:color="667085"/>
            </w:tcBorders>
            <w:tcMar>
              <w:top w:w="100" w:type="dxa"/>
              <w:bottom w:w="100" w:type="dxa"/>
              <w:start w:w="160" w:type="dxa"/>
              <w:end w:w="160" w:type="dxa"/>
            </w:tcMar>
          </w:tcPr>
          <w:p>
            <w:pPr>
              <w:spacing w:after="60"/>
            </w:pPr>
            <w:r/>
            <w:r>
              <w:rPr>
                <w:rFonts w:ascii="Calibri" w:hAnsi="Calibri"/>
                <w:b/>
                <w:i w:val="0"/>
                <w:color w:val="667085"/>
                <w:sz w:val="22"/>
              </w:rPr>
              <w:t>Keep your account yours</w:t>
            </w:r>
          </w:p>
          <w:p>
            <w:pPr>
              <w:spacing w:after="40"/>
            </w:pPr>
            <w:r>
              <w:rPr>
                <w:rFonts w:ascii="Calibri" w:hAnsi="Calibri"/>
                <w:b w:val="0"/>
                <w:i w:val="0"/>
                <w:color w:val="101828"/>
                <w:sz w:val="22"/>
              </w:rPr>
              <w:t>Your dashboard may show sensitive client and performance information. Don’t share your password, and sign out when you’re finished on a shared computer (use the Logout button in the top bar).</w:t>
            </w:r>
          </w:p>
        </w:tc>
      </w:tr>
    </w:tbl>
    <w:p>
      <w:pPr>
        <w:spacing w:after="40"/>
      </w:pPr>
    </w:p>
    <w:p/>
    <w:p>
      <w:pPr>
        <w:pStyle w:val="Heading1"/>
      </w:pPr>
      <w:r>
        <w:t>4.  Who sees what (roles)</w:t>
      </w:r>
    </w:p>
    <w:p>
      <w:pPr>
        <w:spacing w:after="120" w:before="0"/>
      </w:pPr>
      <w:r>
        <w:rPr>
          <w:rFonts w:ascii="Calibri" w:hAnsi="Calibri"/>
          <w:b w:val="0"/>
          <w:i w:val="0"/>
          <w:color w:val="101828"/>
          <w:sz w:val="22"/>
        </w:rPr>
        <w:t>Not everyone sees the same thing. Your role decides how much of the picture you get. This keeps each rep’s data private while giving managers the full view.</w:t>
      </w:r>
    </w:p>
    <w:tbl>
      <w:tblPr>
        <w:tblStyle w:val="TableGrid"/>
        <w:tblW w:type="auto" w:w="0"/>
        <w:jc w:val="center"/>
        <w:tblLook w:firstColumn="1" w:firstRow="1" w:lastColumn="0" w:lastRow="0" w:noHBand="0" w:noVBand="1" w:val="04A0"/>
      </w:tblPr>
      <w:tblGrid>
        <w:gridCol w:w="4824"/>
        <w:gridCol w:w="4824"/>
      </w:tblGrid>
      <w:tr>
        <w:tc>
          <w:tcPr>
            <w:tcW w:type="dxa" w:w="2880"/>
            <w:shd w:val="clear" w:color="auto" w:fill="0B40C1"/>
            <w:tcMar>
              <w:top w:w="100" w:type="dxa"/>
              <w:bottom w:w="100" w:type="dxa"/>
              <w:start w:w="160" w:type="dxa"/>
              <w:end w:w="160" w:type="dxa"/>
            </w:tcMar>
          </w:tcPr>
          <w:p>
            <w:pPr>
              <w:spacing w:after="0"/>
            </w:pPr>
            <w:r>
              <w:rPr>
                <w:rFonts w:ascii="Calibri" w:hAnsi="Calibri"/>
                <w:b/>
                <w:i w:val="0"/>
                <w:color w:val="FFFFFF"/>
                <w:sz w:val="22"/>
              </w:rPr>
              <w:t>Role</w:t>
            </w:r>
          </w:p>
        </w:tc>
        <w:tc>
          <w:tcPr>
            <w:tcW w:type="dxa" w:w="6624"/>
            <w:shd w:val="clear" w:color="auto" w:fill="0B40C1"/>
            <w:tcMar>
              <w:top w:w="100" w:type="dxa"/>
              <w:bottom w:w="100" w:type="dxa"/>
              <w:start w:w="160" w:type="dxa"/>
              <w:end w:w="160" w:type="dxa"/>
            </w:tcMar>
          </w:tcPr>
          <w:p>
            <w:pPr>
              <w:spacing w:after="0"/>
            </w:pPr>
            <w:r>
              <w:rPr>
                <w:rFonts w:ascii="Calibri" w:hAnsi="Calibri"/>
                <w:b/>
                <w:i w:val="0"/>
                <w:color w:val="FFFFFF"/>
                <w:sz w:val="22"/>
              </w:rPr>
              <w:t>What they can see and do</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Sales Rep</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Sees only their own calls and their own scores. Perfect for focusing on personal improvement.</w:t>
            </w:r>
          </w:p>
        </w:tc>
      </w:tr>
      <w:tr>
        <w:tc>
          <w:tcPr>
            <w:tcW w:type="dxa" w:w="2880"/>
            <w:tcMar>
              <w:top w:w="100" w:type="dxa"/>
              <w:bottom w:w="100" w:type="dxa"/>
              <w:start w:w="160" w:type="dxa"/>
              <w:end w:w="160" w:type="dxa"/>
            </w:tcMar>
          </w:tcPr>
          <w:p>
            <w:pPr>
              <w:spacing w:after="0"/>
            </w:pPr>
            <w:r>
              <w:rPr>
                <w:rFonts w:ascii="Calibri" w:hAnsi="Calibri"/>
                <w:b/>
                <w:i w:val="0"/>
                <w:color w:val="0B40C1"/>
                <w:sz w:val="22"/>
              </w:rPr>
              <w:t>Manager</w:t>
            </w:r>
          </w:p>
        </w:tc>
        <w:tc>
          <w:tcPr>
            <w:tcW w:type="dxa" w:w="6624"/>
            <w:tcMar>
              <w:top w:w="100" w:type="dxa"/>
              <w:bottom w:w="100" w:type="dxa"/>
              <w:start w:w="160" w:type="dxa"/>
              <w:end w:w="160" w:type="dxa"/>
            </w:tcMar>
          </w:tcPr>
          <w:p>
            <w:pPr>
              <w:spacing w:after="0"/>
            </w:pPr>
            <w:r>
              <w:rPr>
                <w:rFonts w:ascii="Calibri" w:hAnsi="Calibri"/>
                <w:b w:val="0"/>
                <w:i w:val="0"/>
                <w:color w:val="101828"/>
                <w:sz w:val="22"/>
              </w:rPr>
              <w:t>Sees every rep’s calls across the team, the full leaderboard and all coaching — but does not manage accounts.</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Org Admin</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Everything a manager sees, plus the ability to add team members and decide who can see and do what.</w:t>
            </w:r>
          </w:p>
        </w:tc>
      </w:tr>
      <w:tr>
        <w:tc>
          <w:tcPr>
            <w:tcW w:type="dxa" w:w="2880"/>
            <w:tcMar>
              <w:top w:w="100" w:type="dxa"/>
              <w:bottom w:w="100" w:type="dxa"/>
              <w:start w:w="160" w:type="dxa"/>
              <w:end w:w="160" w:type="dxa"/>
            </w:tcMar>
          </w:tcPr>
          <w:p>
            <w:pPr>
              <w:spacing w:after="0"/>
            </w:pPr>
            <w:r>
              <w:rPr>
                <w:rFonts w:ascii="Calibri" w:hAnsi="Calibri"/>
                <w:b/>
                <w:i w:val="0"/>
                <w:color w:val="0B40C1"/>
                <w:sz w:val="22"/>
              </w:rPr>
              <w:t>Viewer</w:t>
            </w:r>
          </w:p>
        </w:tc>
        <w:tc>
          <w:tcPr>
            <w:tcW w:type="dxa" w:w="6624"/>
            <w:tcMar>
              <w:top w:w="100" w:type="dxa"/>
              <w:bottom w:w="100" w:type="dxa"/>
              <w:start w:w="160" w:type="dxa"/>
              <w:end w:w="160" w:type="dxa"/>
            </w:tcMar>
          </w:tcPr>
          <w:p>
            <w:pPr>
              <w:spacing w:after="0"/>
            </w:pPr>
            <w:r>
              <w:rPr>
                <w:rFonts w:ascii="Calibri" w:hAnsi="Calibri"/>
                <w:b w:val="0"/>
                <w:i w:val="0"/>
                <w:color w:val="101828"/>
                <w:sz w:val="22"/>
              </w:rPr>
              <w:t>A read-only view of the dashboard — can look, but not change anything.</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Super Admin</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Runs the whole platform and approves new organizations. Usually the person who set the system up.</w:t>
            </w:r>
          </w:p>
        </w:tc>
      </w:tr>
    </w:tbl>
    <w:p>
      <w:pPr>
        <w:spacing w:after="40"/>
      </w:pPr>
    </w:p>
    <w:p>
      <w:pPr>
        <w:spacing w:after="120" w:before="0"/>
      </w:pPr>
      <w:r>
        <w:rPr>
          <w:rFonts w:ascii="Calibri" w:hAnsi="Calibri"/>
          <w:b w:val="0"/>
          <w:i w:val="0"/>
          <w:color w:val="667085"/>
          <w:sz w:val="20"/>
        </w:rPr>
        <w:t>Your administrator can also create custom roles (for example “Team Lead”) and fine-tune exactly which parts of the dashboard each person sees. If a section described in this guide isn’t on your screen, your role may simply not include it — ask your admin.</w:t>
      </w:r>
    </w:p>
    <w:p/>
    <w:p>
      <w:pPr>
        <w:pStyle w:val="Heading1"/>
      </w:pPr>
      <w:r>
        <w:t>5.  The dashboard at a glance</w:t>
      </w:r>
    </w:p>
    <w:p>
      <w:pPr>
        <w:spacing w:after="120" w:before="0"/>
      </w:pPr>
      <w:r>
        <w:rPr>
          <w:rFonts w:ascii="Calibri" w:hAnsi="Calibri"/>
          <w:b w:val="0"/>
          <w:i w:val="0"/>
          <w:color w:val="101828"/>
          <w:sz w:val="22"/>
        </w:rPr>
        <w:t>The dashboard is your home screen. Everything updates on its own, so it always reflects the latest calls.</w:t>
      </w:r>
    </w:p>
    <w:p>
      <w:pPr>
        <w:pStyle w:val="Heading2"/>
      </w:pPr>
      <w:r>
        <w:t>The controls along the top</w:t>
      </w:r>
    </w:p>
    <w:tbl>
      <w:tblPr>
        <w:tblStyle w:val="TableGrid"/>
        <w:tblW w:type="auto" w:w="0"/>
        <w:jc w:val="center"/>
        <w:tblLook w:firstColumn="1" w:firstRow="1" w:lastColumn="0" w:lastRow="0" w:noHBand="0" w:noVBand="1" w:val="04A0"/>
      </w:tblPr>
      <w:tblGrid>
        <w:gridCol w:w="4824"/>
        <w:gridCol w:w="4824"/>
      </w:tblGrid>
      <w:tr>
        <w:tc>
          <w:tcPr>
            <w:tcW w:type="dxa" w:w="2880"/>
            <w:shd w:val="clear" w:color="auto" w:fill="0B40C1"/>
            <w:tcMar>
              <w:top w:w="100" w:type="dxa"/>
              <w:bottom w:w="100" w:type="dxa"/>
              <w:start w:w="160" w:type="dxa"/>
              <w:end w:w="160" w:type="dxa"/>
            </w:tcMar>
          </w:tcPr>
          <w:p>
            <w:pPr>
              <w:spacing w:after="0"/>
            </w:pPr>
            <w:r>
              <w:rPr>
                <w:rFonts w:ascii="Calibri" w:hAnsi="Calibri"/>
                <w:b/>
                <w:i w:val="0"/>
                <w:color w:val="FFFFFF"/>
                <w:sz w:val="22"/>
              </w:rPr>
              <w:t>Control</w:t>
            </w:r>
          </w:p>
        </w:tc>
        <w:tc>
          <w:tcPr>
            <w:tcW w:type="dxa" w:w="6624"/>
            <w:shd w:val="clear" w:color="auto" w:fill="0B40C1"/>
            <w:tcMar>
              <w:top w:w="100" w:type="dxa"/>
              <w:bottom w:w="100" w:type="dxa"/>
              <w:start w:w="160" w:type="dxa"/>
              <w:end w:w="160" w:type="dxa"/>
            </w:tcMar>
          </w:tcPr>
          <w:p>
            <w:pPr>
              <w:spacing w:after="0"/>
            </w:pPr>
            <w:r>
              <w:rPr>
                <w:rFonts w:ascii="Calibri" w:hAnsi="Calibri"/>
                <w:b/>
                <w:i w:val="0"/>
                <w:color w:val="FFFFFF"/>
                <w:sz w:val="22"/>
              </w:rPr>
              <w:t>What it does</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Rep filter</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Focus the whole dashboard on one salesperson, or view the whole team with “All Reps”. (Reps see only themselves.)</w:t>
            </w:r>
          </w:p>
        </w:tc>
      </w:tr>
      <w:tr>
        <w:tc>
          <w:tcPr>
            <w:tcW w:type="dxa" w:w="2880"/>
            <w:tcMar>
              <w:top w:w="100" w:type="dxa"/>
              <w:bottom w:w="100" w:type="dxa"/>
              <w:start w:w="160" w:type="dxa"/>
              <w:end w:w="160" w:type="dxa"/>
            </w:tcMar>
          </w:tcPr>
          <w:p>
            <w:pPr>
              <w:spacing w:after="0"/>
            </w:pPr>
            <w:r>
              <w:rPr>
                <w:rFonts w:ascii="Calibri" w:hAnsi="Calibri"/>
                <w:b/>
                <w:i w:val="0"/>
                <w:color w:val="0B40C1"/>
                <w:sz w:val="22"/>
              </w:rPr>
              <w:t>Date range</w:t>
            </w:r>
          </w:p>
        </w:tc>
        <w:tc>
          <w:tcPr>
            <w:tcW w:type="dxa" w:w="6624"/>
            <w:tcMar>
              <w:top w:w="100" w:type="dxa"/>
              <w:bottom w:w="100" w:type="dxa"/>
              <w:start w:w="160" w:type="dxa"/>
              <w:end w:w="160" w:type="dxa"/>
            </w:tcMar>
          </w:tcPr>
          <w:p>
            <w:pPr>
              <w:spacing w:after="0"/>
            </w:pPr>
            <w:r>
              <w:rPr>
                <w:rFonts w:ascii="Calibri" w:hAnsi="Calibri"/>
                <w:b w:val="0"/>
                <w:i w:val="0"/>
                <w:color w:val="101828"/>
                <w:sz w:val="22"/>
              </w:rPr>
              <w:t>Choose the period you care about: last 7, 30, 90 or 365 days. Every chart and number obeys it.</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Refresh</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Force an immediate update. You rarely need it — the dashboard also refreshes itself about once a minute.</w:t>
            </w:r>
          </w:p>
        </w:tc>
      </w:tr>
    </w:tbl>
    <w:p>
      <w:pPr>
        <w:spacing w:after="40"/>
      </w:pPr>
    </w:p>
    <w:p>
      <w:pPr>
        <w:pStyle w:val="Heading2"/>
      </w:pPr>
      <w:r>
        <w:t>The scorecards (KPIs)</w:t>
      </w:r>
    </w:p>
    <w:p>
      <w:pPr>
        <w:spacing w:after="120" w:before="0"/>
      </w:pPr>
      <w:r>
        <w:rPr>
          <w:rFonts w:ascii="Calibri" w:hAnsi="Calibri"/>
          <w:b w:val="0"/>
          <w:i w:val="0"/>
          <w:color w:val="101828"/>
          <w:sz w:val="22"/>
        </w:rPr>
        <w:t>A row of quick-glance numbers summarises the selected period at the top:</w:t>
      </w:r>
    </w:p>
    <w:p>
      <w:pPr>
        <w:pStyle w:val="ListBullet"/>
        <w:spacing w:after="60"/>
      </w:pPr>
      <w:r>
        <w:rPr>
          <w:rFonts w:ascii="Calibri" w:hAnsi="Calibri"/>
          <w:b w:val="0"/>
          <w:i w:val="0"/>
          <w:color w:val="101828"/>
          <w:sz w:val="22"/>
        </w:rPr>
        <w:t>Total Calls — how many calls happened in this period.</w:t>
      </w:r>
    </w:p>
    <w:p>
      <w:pPr>
        <w:pStyle w:val="ListBullet"/>
        <w:spacing w:after="60"/>
      </w:pPr>
      <w:r>
        <w:rPr>
          <w:rFonts w:ascii="Calibri" w:hAnsi="Calibri"/>
          <w:b w:val="0"/>
          <w:i w:val="0"/>
          <w:color w:val="101828"/>
          <w:sz w:val="22"/>
        </w:rPr>
        <w:t>Avg Score — the average performance score, out of 100.</w:t>
      </w:r>
    </w:p>
    <w:p>
      <w:pPr>
        <w:pStyle w:val="ListBullet"/>
        <w:spacing w:after="60"/>
      </w:pPr>
      <w:r>
        <w:rPr>
          <w:rFonts w:ascii="Calibri" w:hAnsi="Calibri"/>
          <w:b w:val="0"/>
          <w:i w:val="0"/>
          <w:color w:val="101828"/>
          <w:sz w:val="22"/>
        </w:rPr>
        <w:t>Next Steps — how many calls ended with a clear next step agreed.</w:t>
      </w:r>
    </w:p>
    <w:p>
      <w:pPr>
        <w:pStyle w:val="ListBullet"/>
        <w:spacing w:after="60"/>
      </w:pPr>
      <w:r>
        <w:rPr>
          <w:rFonts w:ascii="Calibri" w:hAnsi="Calibri"/>
          <w:b w:val="0"/>
          <w:i w:val="0"/>
          <w:color w:val="101828"/>
          <w:sz w:val="22"/>
        </w:rPr>
        <w:t>Best Score — the top-scoring call in the period.</w:t>
      </w:r>
    </w:p>
    <w:p>
      <w:pPr>
        <w:pStyle w:val="ListBullet"/>
        <w:spacing w:after="60"/>
      </w:pPr>
      <w:r>
        <w:rPr>
          <w:rFonts w:ascii="Calibri" w:hAnsi="Calibri"/>
          <w:b w:val="0"/>
          <w:i w:val="0"/>
          <w:color w:val="101828"/>
          <w:sz w:val="22"/>
        </w:rPr>
        <w:t>Close Attempts — how many times the team asked for the business.</w:t>
      </w:r>
    </w:p>
    <w:p>
      <w:pPr>
        <w:pStyle w:val="ListBullet"/>
        <w:spacing w:after="60"/>
      </w:pPr>
      <w:r>
        <w:rPr>
          <w:rFonts w:ascii="Calibri" w:hAnsi="Calibri"/>
          <w:b w:val="0"/>
          <w:i w:val="0"/>
          <w:color w:val="101828"/>
          <w:sz w:val="22"/>
        </w:rPr>
        <w:t>Avg Call Time — the average length of a call, in minutes.</w:t>
      </w:r>
    </w:p>
    <w:p/>
    <w:p>
      <w:pPr>
        <w:pStyle w:val="Heading1"/>
      </w:pPr>
      <w:r>
        <w:t>6.  Recent Calls</w:t>
      </w:r>
    </w:p>
    <w:p>
      <w:pPr>
        <w:spacing w:after="120" w:before="0"/>
      </w:pPr>
      <w:r>
        <w:rPr>
          <w:rFonts w:ascii="Calibri" w:hAnsi="Calibri"/>
          <w:b w:val="0"/>
          <w:i w:val="0"/>
          <w:color w:val="101828"/>
          <w:sz w:val="22"/>
        </w:rPr>
        <w:t>This panel lists your calls, newest first. Each row is a quick snapshot:</w:t>
      </w:r>
    </w:p>
    <w:p>
      <w:pPr>
        <w:pStyle w:val="ListBullet"/>
        <w:spacing w:after="60"/>
      </w:pPr>
      <w:r>
        <w:rPr>
          <w:rFonts w:ascii="Calibri" w:hAnsi="Calibri"/>
          <w:b/>
          <w:i w:val="0"/>
          <w:color w:val="101828"/>
          <w:sz w:val="22"/>
        </w:rPr>
        <w:t xml:space="preserve">Who.  </w:t>
      </w:r>
      <w:r>
        <w:rPr>
          <w:rFonts w:ascii="Calibri" w:hAnsi="Calibri"/>
          <w:b w:val="0"/>
          <w:i w:val="0"/>
          <w:color w:val="101828"/>
          <w:sz w:val="22"/>
        </w:rPr>
        <w:t>The client name and which rep took the call.</w:t>
      </w:r>
    </w:p>
    <w:p>
      <w:pPr>
        <w:pStyle w:val="ListBullet"/>
        <w:spacing w:after="60"/>
      </w:pPr>
      <w:r>
        <w:rPr>
          <w:rFonts w:ascii="Calibri" w:hAnsi="Calibri"/>
          <w:b/>
          <w:i w:val="0"/>
          <w:color w:val="101828"/>
          <w:sz w:val="22"/>
        </w:rPr>
        <w:t xml:space="preserve">Score.  </w:t>
      </w:r>
      <w:r>
        <w:rPr>
          <w:rFonts w:ascii="Calibri" w:hAnsi="Calibri"/>
          <w:b w:val="0"/>
          <w:i w:val="0"/>
          <w:color w:val="101828"/>
          <w:sz w:val="22"/>
        </w:rPr>
        <w:t>A coloured score badge — green is strong, blue is solid, red needs attention.</w:t>
      </w:r>
    </w:p>
    <w:p>
      <w:pPr>
        <w:pStyle w:val="ListBullet"/>
        <w:spacing w:after="60"/>
      </w:pPr>
      <w:r>
        <w:rPr>
          <w:rFonts w:ascii="Calibri" w:hAnsi="Calibri"/>
          <w:b/>
          <w:i w:val="0"/>
          <w:color w:val="101828"/>
          <w:sz w:val="22"/>
        </w:rPr>
        <w:t xml:space="preserve">Tags.  </w:t>
      </w:r>
      <w:r>
        <w:rPr>
          <w:rFonts w:ascii="Calibri" w:hAnsi="Calibri"/>
          <w:b w:val="0"/>
          <w:i w:val="0"/>
          <w:color w:val="101828"/>
          <w:sz w:val="22"/>
        </w:rPr>
        <w:t>The deal stage (Sales, Internal or Technical) and whether a next step was set.</w:t>
      </w:r>
    </w:p>
    <w:p>
      <w:pPr>
        <w:pStyle w:val="ListBullet"/>
        <w:spacing w:after="60"/>
      </w:pPr>
      <w:r>
        <w:rPr>
          <w:rFonts w:ascii="Calibri" w:hAnsi="Calibri"/>
          <w:b/>
          <w:i w:val="0"/>
          <w:color w:val="101828"/>
          <w:sz w:val="22"/>
        </w:rPr>
        <w:t xml:space="preserve">Mood.  </w:t>
      </w:r>
      <w:r>
        <w:rPr>
          <w:rFonts w:ascii="Calibri" w:hAnsi="Calibri"/>
          <w:b w:val="0"/>
          <w:i w:val="0"/>
          <w:color w:val="101828"/>
          <w:sz w:val="22"/>
        </w:rPr>
        <w:t>The overall sentiment of the conversation (positive, neutral or negative).</w:t>
      </w:r>
    </w:p>
    <w:p>
      <w:pPr>
        <w:spacing w:after="120" w:before="0"/>
      </w:pPr>
    </w:p>
    <w:p>
      <w:pPr>
        <w:pStyle w:val="Heading2"/>
      </w:pPr>
      <w:r>
        <w:t>Narrowing the list</w:t>
      </w:r>
    </w:p>
    <w:p>
      <w:pPr>
        <w:spacing w:after="120" w:before="0"/>
      </w:pPr>
      <w:r>
        <w:rPr>
          <w:rFonts w:ascii="Calibri" w:hAnsi="Calibri"/>
          <w:b w:val="0"/>
          <w:i w:val="0"/>
          <w:color w:val="101828"/>
          <w:sz w:val="22"/>
        </w:rPr>
        <w:t>Use the stage buttons (Sales, Internal, Technical) above the list to show only the kinds of call you want. Use “Show more” at the bottom to reveal older calls.</w:t>
      </w:r>
    </w:p>
    <w:tbl>
      <w:tblPr>
        <w:tblW w:type="auto" w:w="0"/>
        <w:jc w:val="center"/>
        <w:tblLayout w:type="autofit"/>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9648"/>
            <w:shd w:val="clear" w:color="auto" w:fill="EAF2FE"/>
            <w:tcBorders>
              <w:left w:val="single" w:sz="24" w:space="0" w:color="0B40C1"/>
            </w:tcBorders>
            <w:tcMar>
              <w:top w:w="100" w:type="dxa"/>
              <w:bottom w:w="100" w:type="dxa"/>
              <w:start w:w="160" w:type="dxa"/>
              <w:end w:w="160" w:type="dxa"/>
            </w:tcMar>
          </w:tcPr>
          <w:p>
            <w:pPr>
              <w:spacing w:after="60"/>
            </w:pPr>
            <w:r/>
            <w:r>
              <w:rPr>
                <w:rFonts w:ascii="Calibri" w:hAnsi="Calibri"/>
                <w:b/>
                <w:i w:val="0"/>
                <w:color w:val="0B40C1"/>
                <w:sz w:val="22"/>
              </w:rPr>
              <w:t>Tip</w:t>
            </w:r>
          </w:p>
          <w:p>
            <w:pPr>
              <w:spacing w:after="40"/>
            </w:pPr>
            <w:r>
              <w:rPr>
                <w:rFonts w:ascii="Calibri" w:hAnsi="Calibri"/>
                <w:b w:val="0"/>
                <w:i w:val="0"/>
                <w:color w:val="101828"/>
                <w:sz w:val="22"/>
              </w:rPr>
              <w:t>To read the full analysis of any call, just click its row. The detailed view slides in from the side — that’s where all the coaching lives (next section).</w:t>
            </w:r>
          </w:p>
        </w:tc>
      </w:tr>
    </w:tbl>
    <w:p>
      <w:pPr>
        <w:spacing w:after="40"/>
      </w:pPr>
    </w:p>
    <w:p/>
    <w:p>
      <w:pPr>
        <w:pStyle w:val="Heading1"/>
      </w:pPr>
      <w:r>
        <w:t>7.  Opening a call: the full breakdown</w:t>
      </w:r>
    </w:p>
    <w:p>
      <w:pPr>
        <w:spacing w:after="120" w:before="0"/>
      </w:pPr>
      <w:r>
        <w:rPr>
          <w:rFonts w:ascii="Calibri" w:hAnsi="Calibri"/>
          <w:b w:val="0"/>
          <w:i w:val="0"/>
          <w:color w:val="101828"/>
          <w:sz w:val="22"/>
        </w:rPr>
        <w:t>Click any call to open its detailed view. From top to bottom you’ll find everything Sales Coach learned about that conversation.</w:t>
      </w:r>
    </w:p>
    <w:tbl>
      <w:tblPr>
        <w:tblStyle w:val="TableGrid"/>
        <w:tblW w:type="auto" w:w="0"/>
        <w:jc w:val="center"/>
        <w:tblLook w:firstColumn="1" w:firstRow="1" w:lastColumn="0" w:lastRow="0" w:noHBand="0" w:noVBand="1" w:val="04A0"/>
      </w:tblPr>
      <w:tblGrid>
        <w:gridCol w:w="4824"/>
        <w:gridCol w:w="4824"/>
      </w:tblGrid>
      <w:tr>
        <w:tc>
          <w:tcPr>
            <w:tcW w:type="dxa" w:w="2880"/>
            <w:shd w:val="clear" w:color="auto" w:fill="0B40C1"/>
            <w:tcMar>
              <w:top w:w="100" w:type="dxa"/>
              <w:bottom w:w="100" w:type="dxa"/>
              <w:start w:w="160" w:type="dxa"/>
              <w:end w:w="160" w:type="dxa"/>
            </w:tcMar>
          </w:tcPr>
          <w:p>
            <w:pPr>
              <w:spacing w:after="0"/>
            </w:pPr>
            <w:r>
              <w:rPr>
                <w:rFonts w:ascii="Calibri" w:hAnsi="Calibri"/>
                <w:b/>
                <w:i w:val="0"/>
                <w:color w:val="FFFFFF"/>
                <w:sz w:val="22"/>
              </w:rPr>
              <w:t>Section</w:t>
            </w:r>
          </w:p>
        </w:tc>
        <w:tc>
          <w:tcPr>
            <w:tcW w:type="dxa" w:w="6624"/>
            <w:shd w:val="clear" w:color="auto" w:fill="0B40C1"/>
            <w:tcMar>
              <w:top w:w="100" w:type="dxa"/>
              <w:bottom w:w="100" w:type="dxa"/>
              <w:start w:w="160" w:type="dxa"/>
              <w:end w:w="160" w:type="dxa"/>
            </w:tcMar>
          </w:tcPr>
          <w:p>
            <w:pPr>
              <w:spacing w:after="0"/>
            </w:pPr>
            <w:r>
              <w:rPr>
                <w:rFonts w:ascii="Calibri" w:hAnsi="Calibri"/>
                <w:b/>
                <w:i w:val="0"/>
                <w:color w:val="FFFFFF"/>
                <w:sz w:val="22"/>
              </w:rPr>
              <w:t>What it tells you</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The big score</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The call’s score out of 100, coloured by how it went. This is the headline.</w:t>
            </w:r>
          </w:p>
        </w:tc>
      </w:tr>
      <w:tr>
        <w:tc>
          <w:tcPr>
            <w:tcW w:type="dxa" w:w="2880"/>
            <w:tcMar>
              <w:top w:w="100" w:type="dxa"/>
              <w:bottom w:w="100" w:type="dxa"/>
              <w:start w:w="160" w:type="dxa"/>
              <w:end w:w="160" w:type="dxa"/>
            </w:tcMar>
          </w:tcPr>
          <w:p>
            <w:pPr>
              <w:spacing w:after="0"/>
            </w:pPr>
            <w:r>
              <w:rPr>
                <w:rFonts w:ascii="Calibri" w:hAnsi="Calibri"/>
                <w:b/>
                <w:i w:val="0"/>
                <w:color w:val="0B40C1"/>
                <w:sz w:val="22"/>
              </w:rPr>
              <w:t>Deal stage</w:t>
            </w:r>
          </w:p>
        </w:tc>
        <w:tc>
          <w:tcPr>
            <w:tcW w:type="dxa" w:w="6624"/>
            <w:tcMar>
              <w:top w:w="100" w:type="dxa"/>
              <w:bottom w:w="100" w:type="dxa"/>
              <w:start w:w="160" w:type="dxa"/>
              <w:end w:w="160" w:type="dxa"/>
            </w:tcMar>
          </w:tcPr>
          <w:p>
            <w:pPr>
              <w:spacing w:after="0"/>
            </w:pPr>
            <w:r>
              <w:rPr>
                <w:rFonts w:ascii="Calibri" w:hAnsi="Calibri"/>
                <w:b w:val="0"/>
                <w:i w:val="0"/>
                <w:color w:val="101828"/>
                <w:sz w:val="22"/>
              </w:rPr>
              <w:t>What kind of call this was. You can correct it here if the system guessed wrong — see section 8.</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Summary</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Two plain sentences describing what actually happened on the call.</w:t>
            </w:r>
          </w:p>
        </w:tc>
      </w:tr>
      <w:tr>
        <w:tc>
          <w:tcPr>
            <w:tcW w:type="dxa" w:w="2880"/>
            <w:tcMar>
              <w:top w:w="100" w:type="dxa"/>
              <w:bottom w:w="100" w:type="dxa"/>
              <w:start w:w="160" w:type="dxa"/>
              <w:end w:w="160" w:type="dxa"/>
            </w:tcMar>
          </w:tcPr>
          <w:p>
            <w:pPr>
              <w:spacing w:after="0"/>
            </w:pPr>
            <w:r>
              <w:rPr>
                <w:rFonts w:ascii="Calibri" w:hAnsi="Calibri"/>
                <w:b/>
                <w:i w:val="0"/>
                <w:color w:val="0B40C1"/>
                <w:sz w:val="22"/>
              </w:rPr>
              <w:t>Talk ratio</w:t>
            </w:r>
          </w:p>
        </w:tc>
        <w:tc>
          <w:tcPr>
            <w:tcW w:type="dxa" w:w="6624"/>
            <w:tcMar>
              <w:top w:w="100" w:type="dxa"/>
              <w:bottom w:w="100" w:type="dxa"/>
              <w:start w:w="160" w:type="dxa"/>
              <w:end w:w="160" w:type="dxa"/>
            </w:tcMar>
          </w:tcPr>
          <w:p>
            <w:pPr>
              <w:spacing w:after="0"/>
            </w:pPr>
            <w:r>
              <w:rPr>
                <w:rFonts w:ascii="Calibri" w:hAnsi="Calibri"/>
                <w:b w:val="0"/>
                <w:i w:val="0"/>
                <w:color w:val="101828"/>
                <w:sz w:val="22"/>
              </w:rPr>
              <w:t>How much the rep talked versus the prospect. On a sales call, you generally want the prospect talking more.</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What went well</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The specific strengths of this call — keep doing these.</w:t>
            </w:r>
          </w:p>
        </w:tc>
      </w:tr>
      <w:tr>
        <w:tc>
          <w:tcPr>
            <w:tcW w:type="dxa" w:w="2880"/>
            <w:tcMar>
              <w:top w:w="100" w:type="dxa"/>
              <w:bottom w:w="100" w:type="dxa"/>
              <w:start w:w="160" w:type="dxa"/>
              <w:end w:w="160" w:type="dxa"/>
            </w:tcMar>
          </w:tcPr>
          <w:p>
            <w:pPr>
              <w:spacing w:after="0"/>
            </w:pPr>
            <w:r>
              <w:rPr>
                <w:rFonts w:ascii="Calibri" w:hAnsi="Calibri"/>
                <w:b/>
                <w:i w:val="0"/>
                <w:color w:val="0B40C1"/>
                <w:sz w:val="22"/>
              </w:rPr>
              <w:t>Areas to improve</w:t>
            </w:r>
          </w:p>
        </w:tc>
        <w:tc>
          <w:tcPr>
            <w:tcW w:type="dxa" w:w="6624"/>
            <w:tcMar>
              <w:top w:w="100" w:type="dxa"/>
              <w:bottom w:w="100" w:type="dxa"/>
              <w:start w:w="160" w:type="dxa"/>
              <w:end w:w="160" w:type="dxa"/>
            </w:tcMar>
          </w:tcPr>
          <w:p>
            <w:pPr>
              <w:spacing w:after="0"/>
            </w:pPr>
            <w:r>
              <w:rPr>
                <w:rFonts w:ascii="Calibri" w:hAnsi="Calibri"/>
                <w:b w:val="0"/>
                <w:i w:val="0"/>
                <w:color w:val="101828"/>
                <w:sz w:val="22"/>
              </w:rPr>
              <w:t>Specific things to do better next time.</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Objections raised</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The concerns the prospect brought up, in their own words.</w:t>
            </w:r>
          </w:p>
        </w:tc>
      </w:tr>
      <w:tr>
        <w:tc>
          <w:tcPr>
            <w:tcW w:type="dxa" w:w="2880"/>
            <w:tcMar>
              <w:top w:w="100" w:type="dxa"/>
              <w:bottom w:w="100" w:type="dxa"/>
              <w:start w:w="160" w:type="dxa"/>
              <w:end w:w="160" w:type="dxa"/>
            </w:tcMar>
          </w:tcPr>
          <w:p>
            <w:pPr>
              <w:spacing w:after="0"/>
            </w:pPr>
            <w:r>
              <w:rPr>
                <w:rFonts w:ascii="Calibri" w:hAnsi="Calibri"/>
                <w:b/>
                <w:i w:val="0"/>
                <w:color w:val="0B40C1"/>
                <w:sz w:val="22"/>
              </w:rPr>
              <w:t>Suggested follow-up</w:t>
            </w:r>
          </w:p>
        </w:tc>
        <w:tc>
          <w:tcPr>
            <w:tcW w:type="dxa" w:w="6624"/>
            <w:tcMar>
              <w:top w:w="100" w:type="dxa"/>
              <w:bottom w:w="100" w:type="dxa"/>
              <w:start w:w="160" w:type="dxa"/>
              <w:end w:w="160" w:type="dxa"/>
            </w:tcMar>
          </w:tcPr>
          <w:p>
            <w:pPr>
              <w:spacing w:after="0"/>
            </w:pPr>
            <w:r>
              <w:rPr>
                <w:rFonts w:ascii="Calibri" w:hAnsi="Calibri"/>
                <w:b w:val="0"/>
                <w:i w:val="0"/>
                <w:color w:val="101828"/>
                <w:sz w:val="22"/>
              </w:rPr>
              <w:t>A ready-to-send text message and email — covered in section 9.</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Missed Moments</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A coaching plan: exact moments in the call, what was said, and a better line to use next time.</w:t>
            </w:r>
          </w:p>
        </w:tc>
      </w:tr>
    </w:tbl>
    <w:p>
      <w:pPr>
        <w:spacing w:after="40"/>
      </w:pPr>
    </w:p>
    <w:p>
      <w:pPr>
        <w:spacing w:after="120" w:before="0"/>
      </w:pPr>
      <w:r>
        <w:rPr>
          <w:rFonts w:ascii="Calibri" w:hAnsi="Calibri"/>
          <w:b w:val="0"/>
          <w:i w:val="0"/>
          <w:color w:val="667085"/>
          <w:sz w:val="20"/>
        </w:rPr>
        <w:t>The “Missed Moments” coaching is the most valuable part for improving. Each entry shows the moment, what the rep actually said, what they could have said instead, and why it matters — like having a coach replay the call with you.</w:t>
      </w:r>
    </w:p>
    <w:p/>
    <w:p>
      <w:pPr>
        <w:pStyle w:val="Heading1"/>
      </w:pPr>
      <w:r>
        <w:t>8.  Fixing the deal stage</w:t>
      </w:r>
    </w:p>
    <w:p>
      <w:pPr>
        <w:spacing w:after="120" w:before="0"/>
      </w:pPr>
      <w:r>
        <w:rPr>
          <w:rFonts w:ascii="Calibri" w:hAnsi="Calibri"/>
          <w:b w:val="0"/>
          <w:i w:val="0"/>
          <w:color w:val="101828"/>
          <w:sz w:val="22"/>
        </w:rPr>
        <w:t>Sales Coach sorts every call into one of three types, because a sales pitch and a delivery meeting should not be judged the same way:</w:t>
      </w:r>
    </w:p>
    <w:p>
      <w:pPr>
        <w:pStyle w:val="ListBullet"/>
        <w:spacing w:after="60"/>
      </w:pPr>
      <w:r>
        <w:rPr>
          <w:rFonts w:ascii="Calibri" w:hAnsi="Calibri"/>
          <w:b/>
          <w:i w:val="0"/>
          <w:color w:val="101828"/>
          <w:sz w:val="22"/>
        </w:rPr>
        <w:t xml:space="preserve">Sales.  </w:t>
      </w:r>
      <w:r>
        <w:rPr>
          <w:rFonts w:ascii="Calibri" w:hAnsi="Calibri"/>
          <w:b w:val="0"/>
          <w:i w:val="0"/>
          <w:color w:val="101828"/>
          <w:sz w:val="22"/>
        </w:rPr>
        <w:t>The deal is not won yet — discovery, demos, proposals. Judged as a sales conversation.</w:t>
      </w:r>
    </w:p>
    <w:p>
      <w:pPr>
        <w:pStyle w:val="ListBullet"/>
        <w:spacing w:after="60"/>
      </w:pPr>
      <w:r>
        <w:rPr>
          <w:rFonts w:ascii="Calibri" w:hAnsi="Calibri"/>
          <w:b/>
          <w:i w:val="0"/>
          <w:color w:val="101828"/>
          <w:sz w:val="22"/>
        </w:rPr>
        <w:t xml:space="preserve">Technical.  </w:t>
      </w:r>
      <w:r>
        <w:rPr>
          <w:rFonts w:ascii="Calibri" w:hAnsi="Calibri"/>
          <w:b w:val="0"/>
          <w:i w:val="0"/>
          <w:color w:val="101828"/>
          <w:sz w:val="22"/>
        </w:rPr>
        <w:t>The client is signed — onboarding, setup, delivery work. Judged as a project call.</w:t>
      </w:r>
    </w:p>
    <w:p>
      <w:pPr>
        <w:pStyle w:val="ListBullet"/>
        <w:spacing w:after="60"/>
      </w:pPr>
      <w:r>
        <w:rPr>
          <w:rFonts w:ascii="Calibri" w:hAnsi="Calibri"/>
          <w:b/>
          <w:i w:val="0"/>
          <w:color w:val="101828"/>
          <w:sz w:val="22"/>
        </w:rPr>
        <w:t xml:space="preserve">Internal.  </w:t>
      </w:r>
      <w:r>
        <w:rPr>
          <w:rFonts w:ascii="Calibri" w:hAnsi="Calibri"/>
          <w:b w:val="0"/>
          <w:i w:val="0"/>
          <w:color w:val="101828"/>
          <w:sz w:val="22"/>
        </w:rPr>
        <w:t>A team-only meeting with no client present — planning, standups, strategy.</w:t>
      </w:r>
    </w:p>
    <w:p>
      <w:pPr>
        <w:spacing w:after="120" w:before="0"/>
      </w:pPr>
    </w:p>
    <w:p>
      <w:pPr>
        <w:spacing w:after="120" w:before="0"/>
      </w:pPr>
      <w:r>
        <w:rPr>
          <w:rFonts w:ascii="Calibri" w:hAnsi="Calibri"/>
          <w:b w:val="0"/>
          <w:i w:val="0"/>
          <w:color w:val="101828"/>
          <w:sz w:val="22"/>
        </w:rPr>
        <w:t>Occasionally it guesses wrong — for example, marking a genuine sales call as “Technical.” When that happens you can correct it yourself:</w:t>
      </w:r>
    </w:p>
    <w:p>
      <w:pPr>
        <w:pStyle w:val="ListNumber"/>
        <w:spacing w:after="60"/>
      </w:pPr>
      <w:r>
        <w:rPr>
          <w:rFonts w:ascii="Calibri" w:hAnsi="Calibri"/>
          <w:b w:val="0"/>
          <w:i w:val="0"/>
          <w:color w:val="101828"/>
          <w:sz w:val="22"/>
        </w:rPr>
        <w:t>Open the call.</w:t>
      </w:r>
    </w:p>
    <w:p>
      <w:pPr>
        <w:pStyle w:val="ListNumber"/>
        <w:spacing w:after="60"/>
      </w:pPr>
      <w:r>
        <w:rPr>
          <w:rFonts w:ascii="Calibri" w:hAnsi="Calibri"/>
          <w:b w:val="0"/>
          <w:i w:val="0"/>
          <w:color w:val="101828"/>
          <w:sz w:val="22"/>
        </w:rPr>
        <w:t>Next to the score, use the Deal stage dropdown to pick the correct type.</w:t>
      </w:r>
    </w:p>
    <w:p>
      <w:pPr>
        <w:pStyle w:val="ListNumber"/>
        <w:spacing w:after="60"/>
      </w:pPr>
      <w:r>
        <w:rPr>
          <w:rFonts w:ascii="Calibri" w:hAnsi="Calibri"/>
          <w:b w:val="0"/>
          <w:i w:val="0"/>
          <w:color w:val="101828"/>
          <w:sz w:val="22"/>
        </w:rPr>
        <w:t>It saves instantly. The label changes to “Set manually.”</w:t>
      </w:r>
    </w:p>
    <w:tbl>
      <w:tblPr>
        <w:tblW w:type="auto" w:w="0"/>
        <w:jc w:val="center"/>
        <w:tblLayout w:type="autofit"/>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9648"/>
            <w:shd w:val="clear" w:color="auto" w:fill="ECFDF3"/>
            <w:tcBorders>
              <w:left w:val="single" w:sz="24" w:space="0" w:color="067647"/>
            </w:tcBorders>
            <w:tcMar>
              <w:top w:w="100" w:type="dxa"/>
              <w:bottom w:w="100" w:type="dxa"/>
              <w:start w:w="160" w:type="dxa"/>
              <w:end w:w="160" w:type="dxa"/>
            </w:tcMar>
          </w:tcPr>
          <w:p>
            <w:pPr>
              <w:spacing w:after="60"/>
            </w:pPr>
            <w:r/>
            <w:r>
              <w:rPr>
                <w:rFonts w:ascii="Calibri" w:hAnsi="Calibri"/>
                <w:b/>
                <w:i w:val="0"/>
                <w:color w:val="067647"/>
                <w:sz w:val="22"/>
              </w:rPr>
              <w:t>Your correction sticks</w:t>
            </w:r>
          </w:p>
          <w:p>
            <w:pPr>
              <w:spacing w:after="40"/>
            </w:pPr>
            <w:r>
              <w:rPr>
                <w:rFonts w:ascii="Calibri" w:hAnsi="Calibri"/>
                <w:b w:val="0"/>
                <w:i w:val="0"/>
                <w:color w:val="101828"/>
                <w:sz w:val="22"/>
              </w:rPr>
              <w:t>Once you set a stage by hand, Sales Coach will not overwrite it later. Even if the call is re-analyzed, your chosen stage stays. The dashboard, leaderboard and reports all update to match your correction.</w:t>
            </w:r>
          </w:p>
        </w:tc>
      </w:tr>
    </w:tbl>
    <w:p>
      <w:pPr>
        <w:spacing w:after="40"/>
      </w:pPr>
    </w:p>
    <w:p>
      <w:pPr>
        <w:spacing w:after="120" w:before="0"/>
      </w:pPr>
      <w:r>
        <w:rPr>
          <w:rFonts w:ascii="Calibri" w:hAnsi="Calibri"/>
          <w:b w:val="0"/>
          <w:i w:val="0"/>
          <w:color w:val="667085"/>
          <w:sz w:val="20"/>
        </w:rPr>
        <w:t>This ability may be limited to managers and admins in your organization. If you don’t see the dropdown, you have the read-only view.</w:t>
      </w:r>
    </w:p>
    <w:p/>
    <w:p>
      <w:pPr>
        <w:pStyle w:val="Heading1"/>
      </w:pPr>
      <w:r>
        <w:t>9.  Sending the follow-up (SMS &amp; email)</w:t>
      </w:r>
    </w:p>
    <w:p>
      <w:pPr>
        <w:spacing w:after="120" w:before="0"/>
      </w:pPr>
      <w:r>
        <w:rPr>
          <w:rFonts w:ascii="Calibri" w:hAnsi="Calibri"/>
          <w:b w:val="0"/>
          <w:i w:val="0"/>
          <w:color w:val="101828"/>
          <w:sz w:val="22"/>
        </w:rPr>
        <w:t>For every call, Sales Coach writes a follow-up text message and a follow-up email for you, in a natural, human tone. You’ll find them in the call’s detailed view under “Suggested follow-up.”</w:t>
      </w:r>
    </w:p>
    <w:p>
      <w:pPr>
        <w:pStyle w:val="Heading2"/>
      </w:pPr>
      <w:r>
        <w:t>Your options for each one</w:t>
      </w:r>
    </w:p>
    <w:p>
      <w:pPr>
        <w:pStyle w:val="ListBullet"/>
        <w:spacing w:after="60"/>
      </w:pPr>
      <w:r>
        <w:rPr>
          <w:rFonts w:ascii="Calibri" w:hAnsi="Calibri"/>
          <w:b/>
          <w:i w:val="0"/>
          <w:color w:val="101828"/>
          <w:sz w:val="22"/>
        </w:rPr>
        <w:t xml:space="preserve">Review.  </w:t>
      </w:r>
      <w:r>
        <w:rPr>
          <w:rFonts w:ascii="Calibri" w:hAnsi="Calibri"/>
          <w:b w:val="0"/>
          <w:i w:val="0"/>
          <w:color w:val="101828"/>
          <w:sz w:val="22"/>
        </w:rPr>
        <w:t>Read it and tweak anything you like.</w:t>
      </w:r>
    </w:p>
    <w:p>
      <w:pPr>
        <w:pStyle w:val="ListBullet"/>
        <w:spacing w:after="60"/>
      </w:pPr>
      <w:r>
        <w:rPr>
          <w:rFonts w:ascii="Calibri" w:hAnsi="Calibri"/>
          <w:b/>
          <w:i w:val="0"/>
          <w:color w:val="101828"/>
          <w:sz w:val="22"/>
        </w:rPr>
        <w:t xml:space="preserve">Copy.  </w:t>
      </w:r>
      <w:r>
        <w:rPr>
          <w:rFonts w:ascii="Calibri" w:hAnsi="Calibri"/>
          <w:b w:val="0"/>
          <w:i w:val="0"/>
          <w:color w:val="101828"/>
          <w:sz w:val="22"/>
        </w:rPr>
        <w:t>Use the Copy button to copy the message, then paste it wherever you send from.</w:t>
      </w:r>
    </w:p>
    <w:p>
      <w:pPr>
        <w:pStyle w:val="ListBullet"/>
        <w:spacing w:after="60"/>
      </w:pPr>
      <w:r>
        <w:rPr>
          <w:rFonts w:ascii="Calibri" w:hAnsi="Calibri"/>
          <w:b/>
          <w:i w:val="0"/>
          <w:color w:val="101828"/>
          <w:sz w:val="22"/>
        </w:rPr>
        <w:t xml:space="preserve">Send via GHL.  </w:t>
      </w:r>
      <w:r>
        <w:rPr>
          <w:rFonts w:ascii="Calibri" w:hAnsi="Calibri"/>
          <w:b w:val="0"/>
          <w:i w:val="0"/>
          <w:color w:val="101828"/>
          <w:sz w:val="22"/>
        </w:rPr>
        <w:t>Use Send via GHL to push it straight to the contact in GoHighLevel, without leaving Sales Coach.</w:t>
      </w:r>
    </w:p>
    <w:tbl>
      <w:tblPr>
        <w:tblW w:type="auto" w:w="0"/>
        <w:jc w:val="center"/>
        <w:tblLayout w:type="autofit"/>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9648"/>
            <w:shd w:val="clear" w:color="auto" w:fill="FFFAEB"/>
            <w:tcBorders>
              <w:left w:val="single" w:sz="24" w:space="0" w:color="B54708"/>
            </w:tcBorders>
            <w:tcMar>
              <w:top w:w="100" w:type="dxa"/>
              <w:bottom w:w="100" w:type="dxa"/>
              <w:start w:w="160" w:type="dxa"/>
              <w:end w:w="160" w:type="dxa"/>
            </w:tcMar>
          </w:tcPr>
          <w:p>
            <w:pPr>
              <w:spacing w:after="60"/>
            </w:pPr>
            <w:r/>
            <w:r>
              <w:rPr>
                <w:rFonts w:ascii="Calibri" w:hAnsi="Calibri"/>
                <w:b/>
                <w:i w:val="0"/>
                <w:color w:val="B54708"/>
                <w:sz w:val="22"/>
              </w:rPr>
              <w:t>Before you hit “Send via GHL”</w:t>
            </w:r>
          </w:p>
          <w:p>
            <w:pPr>
              <w:spacing w:after="40"/>
            </w:pPr>
            <w:r>
              <w:rPr>
                <w:rFonts w:ascii="Calibri" w:hAnsi="Calibri"/>
                <w:b/>
                <w:i w:val="0"/>
                <w:color w:val="B54708"/>
                <w:sz w:val="22"/>
              </w:rPr>
              <w:t xml:space="preserve">The contact must exist in GHL.  </w:t>
            </w:r>
            <w:r>
              <w:rPr>
                <w:rFonts w:ascii="Calibri" w:hAnsi="Calibri"/>
                <w:b w:val="0"/>
                <w:i w:val="0"/>
                <w:color w:val="101828"/>
                <w:sz w:val="22"/>
              </w:rPr>
              <w:t>Sales Coach matches the client to a contact in your GoHighLevel account. If it can’t find one, it will tell you — add the contact in GHL first, then try again.</w:t>
            </w:r>
          </w:p>
          <w:p>
            <w:pPr>
              <w:spacing w:after="40"/>
            </w:pPr>
            <w:r>
              <w:rPr>
                <w:rFonts w:ascii="Calibri" w:hAnsi="Calibri"/>
                <w:b/>
                <w:i w:val="0"/>
                <w:color w:val="B54708"/>
                <w:sz w:val="22"/>
              </w:rPr>
              <w:t xml:space="preserve">Always glance before sending.  </w:t>
            </w:r>
            <w:r>
              <w:rPr>
                <w:rFonts w:ascii="Calibri" w:hAnsi="Calibri"/>
                <w:b w:val="0"/>
                <w:i w:val="0"/>
                <w:color w:val="101828"/>
                <w:sz w:val="22"/>
              </w:rPr>
              <w:t>The message is written for you, but it’s still going to a real client. Give it a quick read and personalise anything that needs it.</w:t>
            </w:r>
          </w:p>
        </w:tc>
      </w:tr>
    </w:tbl>
    <w:p>
      <w:pPr>
        <w:spacing w:after="40"/>
      </w:pPr>
    </w:p>
    <w:p/>
    <w:p>
      <w:pPr>
        <w:pStyle w:val="Heading1"/>
      </w:pPr>
      <w:r>
        <w:t>10.  Leaderboard</w:t>
      </w:r>
    </w:p>
    <w:p>
      <w:pPr>
        <w:spacing w:after="120" w:before="0"/>
      </w:pPr>
      <w:r>
        <w:rPr>
          <w:rFonts w:ascii="Calibri" w:hAnsi="Calibri"/>
          <w:b w:val="0"/>
          <w:i w:val="0"/>
          <w:color w:val="101828"/>
          <w:sz w:val="22"/>
        </w:rPr>
        <w:t>The Leaderboard ranks your salespeople so friendly competition and coaching happen naturally.</w:t>
      </w:r>
    </w:p>
    <w:p>
      <w:pPr>
        <w:pStyle w:val="ListBullet"/>
        <w:spacing w:after="60"/>
      </w:pPr>
      <w:r>
        <w:rPr>
          <w:rFonts w:ascii="Calibri" w:hAnsi="Calibri"/>
          <w:b w:val="0"/>
          <w:i w:val="0"/>
          <w:color w:val="101828"/>
          <w:sz w:val="22"/>
        </w:rPr>
        <w:t>Reps are ranked by their average score, with the top three highlighted.</w:t>
      </w:r>
    </w:p>
    <w:p>
      <w:pPr>
        <w:pStyle w:val="ListBullet"/>
        <w:spacing w:after="60"/>
      </w:pPr>
      <w:r>
        <w:rPr>
          <w:rFonts w:ascii="Calibri" w:hAnsi="Calibri"/>
          <w:b w:val="0"/>
          <w:i w:val="0"/>
          <w:color w:val="101828"/>
          <w:sz w:val="22"/>
        </w:rPr>
        <w:t>Each row shows the rep’s calls and how many next steps they set.</w:t>
      </w:r>
    </w:p>
    <w:p>
      <w:pPr>
        <w:pStyle w:val="ListBullet"/>
        <w:spacing w:after="60"/>
      </w:pPr>
      <w:r>
        <w:rPr>
          <w:rFonts w:ascii="Calibri" w:hAnsi="Calibri"/>
          <w:b w:val="0"/>
          <w:i w:val="0"/>
          <w:color w:val="101828"/>
          <w:sz w:val="22"/>
        </w:rPr>
        <w:t>Sort by highest score or by most calls using the dropdown.</w:t>
      </w:r>
    </w:p>
    <w:p>
      <w:pPr>
        <w:pStyle w:val="ListBullet"/>
        <w:spacing w:after="60"/>
      </w:pPr>
      <w:r>
        <w:rPr>
          <w:rFonts w:ascii="Calibri" w:hAnsi="Calibri"/>
          <w:b w:val="0"/>
          <w:i w:val="0"/>
          <w:color w:val="101828"/>
          <w:sz w:val="22"/>
        </w:rPr>
        <w:t>Use the stage buttons to rank on just Sales, Internal or Technical calls.</w:t>
      </w:r>
    </w:p>
    <w:p>
      <w:pPr>
        <w:spacing w:after="120" w:before="0"/>
      </w:pPr>
      <w:r>
        <w:rPr>
          <w:rFonts w:ascii="Calibri" w:hAnsi="Calibri"/>
          <w:b w:val="0"/>
          <w:i w:val="0"/>
          <w:color w:val="667085"/>
          <w:sz w:val="20"/>
        </w:rPr>
        <w:t>Managers and admins see the whole team here. A rep sees the leaderboard in the context their role allows.</w:t>
      </w:r>
    </w:p>
    <w:p/>
    <w:p>
      <w:pPr>
        <w:pStyle w:val="Heading1"/>
      </w:pPr>
      <w:r>
        <w:t>11.  Deal Stage Breakdown &amp; Score Trend</w:t>
      </w:r>
    </w:p>
    <w:p>
      <w:pPr>
        <w:pStyle w:val="Heading2"/>
      </w:pPr>
      <w:r>
        <w:t>Deal Stage Breakdown</w:t>
      </w:r>
    </w:p>
    <w:p>
      <w:pPr>
        <w:spacing w:after="120" w:before="0"/>
      </w:pPr>
      <w:r>
        <w:rPr>
          <w:rFonts w:ascii="Calibri" w:hAnsi="Calibri"/>
          <w:b w:val="0"/>
          <w:i w:val="0"/>
          <w:color w:val="101828"/>
          <w:sz w:val="22"/>
        </w:rPr>
        <w:t>A simple bar chart showing how your calls split across Sales, Internal and Technical. It tells you at a glance where the team’s time is going.</w:t>
      </w:r>
    </w:p>
    <w:p>
      <w:pPr>
        <w:pStyle w:val="Heading2"/>
      </w:pPr>
      <w:r>
        <w:t>Score Trend</w:t>
      </w:r>
    </w:p>
    <w:p>
      <w:pPr>
        <w:spacing w:after="120" w:before="0"/>
      </w:pPr>
      <w:r>
        <w:rPr>
          <w:rFonts w:ascii="Calibri" w:hAnsi="Calibri"/>
          <w:b w:val="0"/>
          <w:i w:val="0"/>
          <w:color w:val="101828"/>
          <w:sz w:val="22"/>
        </w:rPr>
        <w:t>A line chart of your average score over time. A line that climbs means coaching is working; a dip is an early warning to look closer. Change the date range at the top to zoom in or out.</w:t>
      </w:r>
    </w:p>
    <w:p/>
    <w:p>
      <w:pPr>
        <w:pStyle w:val="Heading1"/>
      </w:pPr>
      <w:r>
        <w:t>12.  Improvement Plan by Deal Stage</w:t>
      </w:r>
    </w:p>
    <w:p>
      <w:pPr>
        <w:spacing w:after="120" w:before="0"/>
      </w:pPr>
      <w:r>
        <w:rPr>
          <w:rFonts w:ascii="Calibri" w:hAnsi="Calibri"/>
          <w:b w:val="0"/>
          <w:i w:val="0"/>
          <w:color w:val="101828"/>
          <w:sz w:val="22"/>
        </w:rPr>
        <w:t>This is the team’s coaching hub. Instead of looking at one call, it studies all of a rep’s calls together and distils the handful of problems that keep coming up — grouped into three columns: Internal, Sales and Technical.</w:t>
      </w:r>
    </w:p>
    <w:p>
      <w:pPr>
        <w:spacing w:after="120" w:before="0"/>
      </w:pPr>
      <w:r>
        <w:rPr>
          <w:rFonts w:ascii="Calibri" w:hAnsi="Calibri"/>
          <w:b w:val="0"/>
          <w:i w:val="0"/>
          <w:color w:val="101828"/>
          <w:sz w:val="22"/>
        </w:rPr>
        <w:t>Click a rep’s name to expand their three columns and read their recurring problems.</w:t>
      </w:r>
    </w:p>
    <w:p>
      <w:pPr>
        <w:pStyle w:val="Heading2"/>
      </w:pPr>
      <w:r>
        <w:t>Re-analyzing a rep</w:t>
      </w:r>
    </w:p>
    <w:p>
      <w:pPr>
        <w:spacing w:after="120" w:before="0"/>
      </w:pPr>
      <w:r>
        <w:rPr>
          <w:rFonts w:ascii="Calibri" w:hAnsi="Calibri"/>
          <w:b w:val="0"/>
          <w:i w:val="0"/>
          <w:color w:val="101828"/>
          <w:sz w:val="22"/>
        </w:rPr>
        <w:t>Each rep’s row has its own Re-analyze button. Use it to take a fresh look at that one person’s entire set of calls and rebuild all three columns — for example after they’ve had a few new calls. A “Re-analyze all” button at the top does this for everyone, one after another.</w:t>
      </w:r>
    </w:p>
    <w:tbl>
      <w:tblPr>
        <w:tblW w:type="auto" w:w="0"/>
        <w:jc w:val="center"/>
        <w:tblLayout w:type="autofit"/>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9648"/>
            <w:shd w:val="clear" w:color="auto" w:fill="EAF2FE"/>
            <w:tcBorders>
              <w:left w:val="single" w:sz="24" w:space="0" w:color="0B40C1"/>
            </w:tcBorders>
            <w:tcMar>
              <w:top w:w="100" w:type="dxa"/>
              <w:bottom w:w="100" w:type="dxa"/>
              <w:start w:w="160" w:type="dxa"/>
              <w:end w:w="160" w:type="dxa"/>
            </w:tcMar>
          </w:tcPr>
          <w:p>
            <w:pPr>
              <w:spacing w:after="60"/>
            </w:pPr>
            <w:r/>
            <w:r>
              <w:rPr>
                <w:rFonts w:ascii="Calibri" w:hAnsi="Calibri"/>
                <w:b/>
                <w:i w:val="0"/>
                <w:color w:val="0B40C1"/>
                <w:sz w:val="22"/>
              </w:rPr>
              <w:t>Reading it well</w:t>
            </w:r>
          </w:p>
          <w:p>
            <w:pPr>
              <w:spacing w:after="40"/>
            </w:pPr>
            <w:r>
              <w:rPr>
                <w:rFonts w:ascii="Calibri" w:hAnsi="Calibri"/>
                <w:b/>
                <w:i w:val="0"/>
                <w:color w:val="0B40C1"/>
                <w:sz w:val="22"/>
              </w:rPr>
              <w:t xml:space="preserve">Focus on the top item.  </w:t>
            </w:r>
            <w:r>
              <w:rPr>
                <w:rFonts w:ascii="Calibri" w:hAnsi="Calibri"/>
                <w:b w:val="0"/>
                <w:i w:val="0"/>
                <w:color w:val="101828"/>
                <w:sz w:val="22"/>
              </w:rPr>
              <w:t>The problems are ordered by how often they happen. Have each rep fix their number-one recurring gap first — it moves the score the most.</w:t>
            </w:r>
          </w:p>
          <w:p>
            <w:pPr>
              <w:spacing w:after="40"/>
            </w:pPr>
            <w:r>
              <w:rPr>
                <w:rFonts w:ascii="Calibri" w:hAnsi="Calibri"/>
                <w:b/>
                <w:i w:val="0"/>
                <w:color w:val="0B40C1"/>
                <w:sz w:val="22"/>
              </w:rPr>
              <w:t xml:space="preserve">It’s per person.  </w:t>
            </w:r>
            <w:r>
              <w:rPr>
                <w:rFonts w:ascii="Calibri" w:hAnsi="Calibri"/>
                <w:b w:val="0"/>
                <w:i w:val="0"/>
                <w:color w:val="101828"/>
                <w:sz w:val="22"/>
              </w:rPr>
              <w:t>Re-analyzing one rep never touches anyone else’s coaching.</w:t>
            </w:r>
          </w:p>
        </w:tc>
      </w:tr>
    </w:tbl>
    <w:p>
      <w:pPr>
        <w:spacing w:after="40"/>
      </w:pPr>
    </w:p>
    <w:p/>
    <w:p>
      <w:pPr>
        <w:pStyle w:val="Heading1"/>
      </w:pPr>
      <w:r>
        <w:t>13.  Understanding your score (and how to reach the top)</w:t>
      </w:r>
    </w:p>
    <w:p>
      <w:pPr>
        <w:spacing w:after="120" w:before="0"/>
      </w:pPr>
      <w:r>
        <w:rPr>
          <w:rFonts w:ascii="Calibri" w:hAnsi="Calibri"/>
          <w:b w:val="0"/>
          <w:i w:val="0"/>
          <w:color w:val="101828"/>
          <w:sz w:val="22"/>
        </w:rPr>
        <w:t>The score is not random. On a sales call, Sales Coach grades eight specific things. Master these and the score follows.</w:t>
      </w:r>
    </w:p>
    <w:p>
      <w:pPr>
        <w:spacing w:after="40" w:before="120"/>
      </w:pPr>
      <w:r>
        <w:rPr>
          <w:rFonts w:ascii="Calibri" w:hAnsi="Calibri"/>
          <w:b/>
          <w:i w:val="0"/>
          <w:color w:val="0B40C1"/>
          <w:sz w:val="24"/>
        </w:rPr>
        <w:t>1.  Build rapport first</w:t>
      </w:r>
    </w:p>
    <w:p>
      <w:pPr>
        <w:spacing w:after="60" w:before="0"/>
      </w:pPr>
      <w:r>
        <w:rPr>
          <w:rFonts w:ascii="Calibri" w:hAnsi="Calibri"/>
          <w:b w:val="0"/>
          <w:i w:val="0"/>
          <w:color w:val="101828"/>
          <w:sz w:val="22"/>
        </w:rPr>
        <w:t>Open with a little real conversation before the pitch.</w:t>
      </w:r>
    </w:p>
    <w:p>
      <w:pPr>
        <w:spacing w:after="40"/>
      </w:pPr>
      <w:r>
        <w:rPr>
          <w:rFonts w:ascii="Calibri" w:hAnsi="Calibri"/>
          <w:b/>
          <w:i w:val="0"/>
          <w:color w:val="B42318"/>
          <w:sz w:val="22"/>
        </w:rPr>
        <w:t xml:space="preserve">Instead of:  </w:t>
      </w:r>
      <w:r>
        <w:rPr>
          <w:rFonts w:ascii="Calibri" w:hAnsi="Calibri"/>
          <w:b w:val="0"/>
          <w:i/>
          <w:color w:val="667085"/>
          <w:sz w:val="22"/>
        </w:rPr>
        <w:t>"Let me show you what we do."</w:t>
      </w:r>
    </w:p>
    <w:p>
      <w:pPr>
        <w:spacing w:after="120"/>
      </w:pPr>
      <w:r>
        <w:rPr>
          <w:rFonts w:ascii="Calibri" w:hAnsi="Calibri"/>
          <w:b/>
          <w:i w:val="0"/>
          <w:color w:val="067647"/>
          <w:sz w:val="22"/>
        </w:rPr>
        <w:t xml:space="preserve">Try this:  </w:t>
      </w:r>
      <w:r>
        <w:rPr>
          <w:rFonts w:ascii="Calibri" w:hAnsi="Calibri"/>
          <w:b w:val="0"/>
          <w:i/>
          <w:color w:val="101828"/>
          <w:sz w:val="22"/>
        </w:rPr>
        <w:t>"Before we jump in, how’s the quarter been treating you?"</w:t>
      </w:r>
    </w:p>
    <w:p>
      <w:pPr>
        <w:spacing w:after="40" w:before="120"/>
      </w:pPr>
      <w:r>
        <w:rPr>
          <w:rFonts w:ascii="Calibri" w:hAnsi="Calibri"/>
          <w:b/>
          <w:i w:val="0"/>
          <w:color w:val="0B40C1"/>
          <w:sz w:val="24"/>
        </w:rPr>
        <w:t>2.  Discover before you pitch  (the biggest one)</w:t>
      </w:r>
    </w:p>
    <w:p>
      <w:pPr>
        <w:spacing w:after="60" w:before="0"/>
      </w:pPr>
      <w:r>
        <w:rPr>
          <w:rFonts w:ascii="Calibri" w:hAnsi="Calibri"/>
          <w:b w:val="0"/>
          <w:i w:val="0"/>
          <w:color w:val="101828"/>
          <w:sz w:val="22"/>
        </w:rPr>
        <w:t>Ask about the problem, what it costs, and what happens if nothing changes — before you present anything.</w:t>
      </w:r>
    </w:p>
    <w:p>
      <w:pPr>
        <w:spacing w:after="40"/>
      </w:pPr>
      <w:r>
        <w:rPr>
          <w:rFonts w:ascii="Calibri" w:hAnsi="Calibri"/>
          <w:b/>
          <w:i w:val="0"/>
          <w:color w:val="B42318"/>
          <w:sz w:val="22"/>
        </w:rPr>
        <w:t xml:space="preserve">Instead of:  </w:t>
      </w:r>
      <w:r>
        <w:rPr>
          <w:rFonts w:ascii="Calibri" w:hAnsi="Calibri"/>
          <w:b w:val="0"/>
          <w:i/>
          <w:color w:val="667085"/>
          <w:sz w:val="22"/>
        </w:rPr>
        <w:t>"Here are all our features…"</w:t>
      </w:r>
    </w:p>
    <w:p>
      <w:pPr>
        <w:spacing w:after="120"/>
      </w:pPr>
      <w:r>
        <w:rPr>
          <w:rFonts w:ascii="Calibri" w:hAnsi="Calibri"/>
          <w:b/>
          <w:i w:val="0"/>
          <w:color w:val="067647"/>
          <w:sz w:val="22"/>
        </w:rPr>
        <w:t xml:space="preserve">Try this:  </w:t>
      </w:r>
      <w:r>
        <w:rPr>
          <w:rFonts w:ascii="Calibri" w:hAnsi="Calibri"/>
          <w:b w:val="0"/>
          <w:i/>
          <w:color w:val="101828"/>
          <w:sz w:val="22"/>
        </w:rPr>
        <w:t>"What made you start looking at this now, and what’s it costing you today?"</w:t>
      </w:r>
    </w:p>
    <w:p>
      <w:pPr>
        <w:spacing w:after="40" w:before="120"/>
      </w:pPr>
      <w:r>
        <w:rPr>
          <w:rFonts w:ascii="Calibri" w:hAnsi="Calibri"/>
          <w:b/>
          <w:i w:val="0"/>
          <w:color w:val="0B40C1"/>
          <w:sz w:val="24"/>
        </w:rPr>
        <w:t>3.  Qualify the opportunity</w:t>
      </w:r>
    </w:p>
    <w:p>
      <w:pPr>
        <w:spacing w:after="60" w:before="0"/>
      </w:pPr>
      <w:r>
        <w:rPr>
          <w:rFonts w:ascii="Calibri" w:hAnsi="Calibri"/>
          <w:b w:val="0"/>
          <w:i w:val="0"/>
          <w:color w:val="101828"/>
          <w:sz w:val="22"/>
        </w:rPr>
        <w:t>Confirm the decision maker, the timeline and the fit. Asking directly is not rude.</w:t>
      </w:r>
    </w:p>
    <w:p>
      <w:pPr>
        <w:spacing w:after="120"/>
      </w:pPr>
      <w:r>
        <w:rPr>
          <w:rFonts w:ascii="Calibri" w:hAnsi="Calibri"/>
          <w:b/>
          <w:i w:val="0"/>
          <w:color w:val="067647"/>
          <w:sz w:val="22"/>
        </w:rPr>
        <w:t xml:space="preserve">Try this:  </w:t>
      </w:r>
      <w:r>
        <w:rPr>
          <w:rFonts w:ascii="Calibri" w:hAnsi="Calibri"/>
          <w:b w:val="0"/>
          <w:i/>
          <w:color w:val="101828"/>
          <w:sz w:val="22"/>
        </w:rPr>
        <w:t>"Other than yourself, who else needs to be comfortable with this before you move ahead?"</w:t>
      </w:r>
    </w:p>
    <w:p>
      <w:pPr>
        <w:spacing w:after="40" w:before="120"/>
      </w:pPr>
      <w:r>
        <w:rPr>
          <w:rFonts w:ascii="Calibri" w:hAnsi="Calibri"/>
          <w:b/>
          <w:i w:val="0"/>
          <w:color w:val="0B40C1"/>
          <w:sz w:val="24"/>
        </w:rPr>
        <w:t>4.  Handle objections properly</w:t>
      </w:r>
    </w:p>
    <w:p>
      <w:pPr>
        <w:spacing w:after="60" w:before="0"/>
      </w:pPr>
      <w:r>
        <w:rPr>
          <w:rFonts w:ascii="Calibri" w:hAnsi="Calibri"/>
          <w:b w:val="0"/>
          <w:i w:val="0"/>
          <w:color w:val="101828"/>
          <w:sz w:val="22"/>
        </w:rPr>
        <w:t>Acknowledge the concern, ask a question back, then answer. Never brush it off.</w:t>
      </w:r>
    </w:p>
    <w:p>
      <w:pPr>
        <w:spacing w:after="40"/>
      </w:pPr>
      <w:r>
        <w:rPr>
          <w:rFonts w:ascii="Calibri" w:hAnsi="Calibri"/>
          <w:b/>
          <w:i w:val="0"/>
          <w:color w:val="B42318"/>
          <w:sz w:val="22"/>
        </w:rPr>
        <w:t xml:space="preserve">Instead of:  </w:t>
      </w:r>
      <w:r>
        <w:rPr>
          <w:rFonts w:ascii="Calibri" w:hAnsi="Calibri"/>
          <w:b w:val="0"/>
          <w:i/>
          <w:color w:val="667085"/>
          <w:sz w:val="22"/>
        </w:rPr>
        <w:t>"No no, that’s not really an issue."</w:t>
      </w:r>
    </w:p>
    <w:p>
      <w:pPr>
        <w:spacing w:after="120"/>
      </w:pPr>
      <w:r>
        <w:rPr>
          <w:rFonts w:ascii="Calibri" w:hAnsi="Calibri"/>
          <w:b/>
          <w:i w:val="0"/>
          <w:color w:val="067647"/>
          <w:sz w:val="22"/>
        </w:rPr>
        <w:t xml:space="preserve">Try this:  </w:t>
      </w:r>
      <w:r>
        <w:rPr>
          <w:rFonts w:ascii="Calibri" w:hAnsi="Calibri"/>
          <w:b w:val="0"/>
          <w:i/>
          <w:color w:val="101828"/>
          <w:sz w:val="22"/>
        </w:rPr>
        <w:t>"That’s fair — can I ask what’s driving that concern, the budget or whether it’ll actually work?"</w:t>
      </w:r>
    </w:p>
    <w:p>
      <w:pPr>
        <w:spacing w:after="40" w:before="120"/>
      </w:pPr>
      <w:r>
        <w:rPr>
          <w:rFonts w:ascii="Calibri" w:hAnsi="Calibri"/>
          <w:b/>
          <w:i w:val="0"/>
          <w:color w:val="0B40C1"/>
          <w:sz w:val="24"/>
        </w:rPr>
        <w:t>5.  Tie everything to their words</w:t>
      </w:r>
    </w:p>
    <w:p>
      <w:pPr>
        <w:spacing w:after="60" w:before="0"/>
      </w:pPr>
      <w:r>
        <w:rPr>
          <w:rFonts w:ascii="Calibri" w:hAnsi="Calibri"/>
          <w:b w:val="0"/>
          <w:i w:val="0"/>
          <w:color w:val="101828"/>
          <w:sz w:val="22"/>
        </w:rPr>
        <w:t>Connect every point to something the prospect actually said. No generic feature tours.</w:t>
      </w:r>
    </w:p>
    <w:p>
      <w:pPr>
        <w:spacing w:after="40"/>
      </w:pPr>
      <w:r>
        <w:rPr>
          <w:rFonts w:ascii="Calibri" w:hAnsi="Calibri"/>
          <w:b/>
          <w:i w:val="0"/>
          <w:color w:val="B42318"/>
          <w:sz w:val="22"/>
        </w:rPr>
        <w:t xml:space="preserve">Instead of:  </w:t>
      </w:r>
      <w:r>
        <w:rPr>
          <w:rFonts w:ascii="Calibri" w:hAnsi="Calibri"/>
          <w:b w:val="0"/>
          <w:i/>
          <w:color w:val="667085"/>
          <w:sz w:val="22"/>
        </w:rPr>
        <w:t>"We also do automation and reporting."</w:t>
      </w:r>
    </w:p>
    <w:p>
      <w:pPr>
        <w:spacing w:after="120"/>
      </w:pPr>
      <w:r>
        <w:rPr>
          <w:rFonts w:ascii="Calibri" w:hAnsi="Calibri"/>
          <w:b/>
          <w:i w:val="0"/>
          <w:color w:val="067647"/>
          <w:sz w:val="22"/>
        </w:rPr>
        <w:t xml:space="preserve">Try this:  </w:t>
      </w:r>
      <w:r>
        <w:rPr>
          <w:rFonts w:ascii="Calibri" w:hAnsi="Calibri"/>
          <w:b w:val="0"/>
          <w:i/>
          <w:color w:val="101828"/>
          <w:sz w:val="22"/>
        </w:rPr>
        <w:t>"You said your team re-enters the same data three times — that’s exactly what this removes."</w:t>
      </w:r>
    </w:p>
    <w:p>
      <w:pPr>
        <w:spacing w:after="40" w:before="120"/>
      </w:pPr>
      <w:r>
        <w:rPr>
          <w:rFonts w:ascii="Calibri" w:hAnsi="Calibri"/>
          <w:b/>
          <w:i w:val="0"/>
          <w:color w:val="0B40C1"/>
          <w:sz w:val="24"/>
        </w:rPr>
        <w:t>6.  Ask for the business</w:t>
      </w:r>
    </w:p>
    <w:p>
      <w:pPr>
        <w:spacing w:after="60" w:before="0"/>
      </w:pPr>
      <w:r>
        <w:rPr>
          <w:rFonts w:ascii="Calibri" w:hAnsi="Calibri"/>
          <w:b w:val="0"/>
          <w:i w:val="0"/>
          <w:color w:val="101828"/>
          <w:sz w:val="22"/>
        </w:rPr>
        <w:t>Actually make a close attempt. Zero attempts on a sales call is a visible gap.</w:t>
      </w:r>
    </w:p>
    <w:p>
      <w:pPr>
        <w:spacing w:after="120"/>
      </w:pPr>
      <w:r>
        <w:rPr>
          <w:rFonts w:ascii="Calibri" w:hAnsi="Calibri"/>
          <w:b/>
          <w:i w:val="0"/>
          <w:color w:val="067647"/>
          <w:sz w:val="22"/>
        </w:rPr>
        <w:t xml:space="preserve">Try this:  </w:t>
      </w:r>
      <w:r>
        <w:rPr>
          <w:rFonts w:ascii="Calibri" w:hAnsi="Calibri"/>
          <w:b w:val="0"/>
          <w:i/>
          <w:color w:val="101828"/>
          <w:sz w:val="22"/>
        </w:rPr>
        <w:t>"Based on everything we’ve covered, I think this is a strong fit — shall we move forward?"</w:t>
      </w:r>
    </w:p>
    <w:p>
      <w:pPr>
        <w:spacing w:after="40" w:before="120"/>
      </w:pPr>
      <w:r>
        <w:rPr>
          <w:rFonts w:ascii="Calibri" w:hAnsi="Calibri"/>
          <w:b/>
          <w:i w:val="0"/>
          <w:color w:val="0B40C1"/>
          <w:sz w:val="24"/>
        </w:rPr>
        <w:t>7.  End with a clear, owned next step  (most important)</w:t>
      </w:r>
    </w:p>
    <w:p>
      <w:pPr>
        <w:spacing w:after="60" w:before="0"/>
      </w:pPr>
      <w:r>
        <w:rPr>
          <w:rFonts w:ascii="Calibri" w:hAnsi="Calibri"/>
          <w:b w:val="0"/>
          <w:i w:val="0"/>
          <w:color w:val="101828"/>
          <w:sz w:val="22"/>
        </w:rPr>
        <w:t>Finish with an action, an owner and a date. Vague endings sink the score.</w:t>
      </w:r>
    </w:p>
    <w:p>
      <w:pPr>
        <w:spacing w:after="40"/>
      </w:pPr>
      <w:r>
        <w:rPr>
          <w:rFonts w:ascii="Calibri" w:hAnsi="Calibri"/>
          <w:b/>
          <w:i w:val="0"/>
          <w:color w:val="B42318"/>
          <w:sz w:val="22"/>
        </w:rPr>
        <w:t xml:space="preserve">Instead of:  </w:t>
      </w:r>
      <w:r>
        <w:rPr>
          <w:rFonts w:ascii="Calibri" w:hAnsi="Calibri"/>
          <w:b w:val="0"/>
          <w:i/>
          <w:color w:val="667085"/>
          <w:sz w:val="22"/>
        </w:rPr>
        <w:t>"I’ll send something over soon."</w:t>
      </w:r>
    </w:p>
    <w:p>
      <w:pPr>
        <w:spacing w:after="120"/>
      </w:pPr>
      <w:r>
        <w:rPr>
          <w:rFonts w:ascii="Calibri" w:hAnsi="Calibri"/>
          <w:b/>
          <w:i w:val="0"/>
          <w:color w:val="067647"/>
          <w:sz w:val="22"/>
        </w:rPr>
        <w:t xml:space="preserve">Try this:  </w:t>
      </w:r>
      <w:r>
        <w:rPr>
          <w:rFonts w:ascii="Calibri" w:hAnsi="Calibri"/>
          <w:b w:val="0"/>
          <w:i/>
          <w:color w:val="101828"/>
          <w:sz w:val="22"/>
        </w:rPr>
        <w:t>"I’ll send the proposal Thursday morning — can we lock 2pm Monday to walk through it?"</w:t>
      </w:r>
    </w:p>
    <w:p>
      <w:pPr>
        <w:spacing w:after="40" w:before="120"/>
      </w:pPr>
      <w:r>
        <w:rPr>
          <w:rFonts w:ascii="Calibri" w:hAnsi="Calibri"/>
          <w:b/>
          <w:i w:val="0"/>
          <w:color w:val="0B40C1"/>
          <w:sz w:val="24"/>
        </w:rPr>
        <w:t>8.  Talk less than the prospect</w:t>
      </w:r>
    </w:p>
    <w:p>
      <w:pPr>
        <w:spacing w:after="60" w:before="0"/>
      </w:pPr>
      <w:r>
        <w:rPr>
          <w:rFonts w:ascii="Calibri" w:hAnsi="Calibri"/>
          <w:b w:val="0"/>
          <w:i w:val="0"/>
          <w:color w:val="101828"/>
          <w:sz w:val="22"/>
        </w:rPr>
        <w:t>If you’re talking more than half the call, you’re pitching, not selling. Ask, then listen.</w:t>
      </w:r>
    </w:p>
    <w:p>
      <w:pPr>
        <w:pStyle w:val="Heading2"/>
      </w:pPr>
      <w:r>
        <w:t>What the score bands mean</w:t>
      </w:r>
    </w:p>
    <w:tbl>
      <w:tblPr>
        <w:tblStyle w:val="TableGrid"/>
        <w:tblW w:type="auto" w:w="0"/>
        <w:jc w:val="center"/>
        <w:tblLook w:firstColumn="1" w:firstRow="1" w:lastColumn="0" w:lastRow="0" w:noHBand="0" w:noVBand="1" w:val="04A0"/>
      </w:tblPr>
      <w:tblGrid>
        <w:gridCol w:w="4824"/>
        <w:gridCol w:w="4824"/>
      </w:tblGrid>
      <w:tr>
        <w:tc>
          <w:tcPr>
            <w:tcW w:type="dxa" w:w="2880"/>
            <w:shd w:val="clear" w:color="auto" w:fill="0B40C1"/>
            <w:tcMar>
              <w:top w:w="100" w:type="dxa"/>
              <w:bottom w:w="100" w:type="dxa"/>
              <w:start w:w="160" w:type="dxa"/>
              <w:end w:w="160" w:type="dxa"/>
            </w:tcMar>
          </w:tcPr>
          <w:p>
            <w:pPr>
              <w:spacing w:after="0"/>
            </w:pPr>
            <w:r>
              <w:rPr>
                <w:rFonts w:ascii="Calibri" w:hAnsi="Calibri"/>
                <w:b/>
                <w:i w:val="0"/>
                <w:color w:val="FFFFFF"/>
                <w:sz w:val="22"/>
              </w:rPr>
              <w:t>Score</w:t>
            </w:r>
          </w:p>
        </w:tc>
        <w:tc>
          <w:tcPr>
            <w:tcW w:type="dxa" w:w="6624"/>
            <w:shd w:val="clear" w:color="auto" w:fill="0B40C1"/>
            <w:tcMar>
              <w:top w:w="100" w:type="dxa"/>
              <w:bottom w:w="100" w:type="dxa"/>
              <w:start w:w="160" w:type="dxa"/>
              <w:end w:w="160" w:type="dxa"/>
            </w:tcMar>
          </w:tcPr>
          <w:p>
            <w:pPr>
              <w:spacing w:after="0"/>
            </w:pPr>
            <w:r>
              <w:rPr>
                <w:rFonts w:ascii="Calibri" w:hAnsi="Calibri"/>
                <w:b/>
                <w:i w:val="0"/>
                <w:color w:val="FFFFFF"/>
                <w:sz w:val="22"/>
              </w:rPr>
              <w:t>What it means</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80 – 100</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Excellent. The call was run to a high standard, with clear, owned next steps.</w:t>
            </w:r>
          </w:p>
        </w:tc>
      </w:tr>
      <w:tr>
        <w:tc>
          <w:tcPr>
            <w:tcW w:type="dxa" w:w="2880"/>
            <w:tcMar>
              <w:top w:w="100" w:type="dxa"/>
              <w:bottom w:w="100" w:type="dxa"/>
              <w:start w:w="160" w:type="dxa"/>
              <w:end w:w="160" w:type="dxa"/>
            </w:tcMar>
          </w:tcPr>
          <w:p>
            <w:pPr>
              <w:spacing w:after="0"/>
            </w:pPr>
            <w:r>
              <w:rPr>
                <w:rFonts w:ascii="Calibri" w:hAnsi="Calibri"/>
                <w:b/>
                <w:i w:val="0"/>
                <w:color w:val="0B40C1"/>
                <w:sz w:val="22"/>
              </w:rPr>
              <w:t>60 – 79</w:t>
            </w:r>
          </w:p>
        </w:tc>
        <w:tc>
          <w:tcPr>
            <w:tcW w:type="dxa" w:w="6624"/>
            <w:tcMar>
              <w:top w:w="100" w:type="dxa"/>
              <w:bottom w:w="100" w:type="dxa"/>
              <w:start w:w="160" w:type="dxa"/>
              <w:end w:w="160" w:type="dxa"/>
            </w:tcMar>
          </w:tcPr>
          <w:p>
            <w:pPr>
              <w:spacing w:after="0"/>
            </w:pPr>
            <w:r>
              <w:rPr>
                <w:rFonts w:ascii="Calibri" w:hAnsi="Calibri"/>
                <w:b w:val="0"/>
                <w:i w:val="0"/>
                <w:color w:val="101828"/>
                <w:sz w:val="22"/>
              </w:rPr>
              <w:t>Good. A solid call with only minor gaps.</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40 – 59</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Average. Key opportunities were missed.</w:t>
            </w:r>
          </w:p>
        </w:tc>
      </w:tr>
      <w:tr>
        <w:tc>
          <w:tcPr>
            <w:tcW w:type="dxa" w:w="2880"/>
            <w:tcMar>
              <w:top w:w="100" w:type="dxa"/>
              <w:bottom w:w="100" w:type="dxa"/>
              <w:start w:w="160" w:type="dxa"/>
              <w:end w:w="160" w:type="dxa"/>
            </w:tcMar>
          </w:tcPr>
          <w:p>
            <w:pPr>
              <w:spacing w:after="0"/>
            </w:pPr>
            <w:r>
              <w:rPr>
                <w:rFonts w:ascii="Calibri" w:hAnsi="Calibri"/>
                <w:b/>
                <w:i w:val="0"/>
                <w:color w:val="0B40C1"/>
                <w:sz w:val="22"/>
              </w:rPr>
              <w:t>Below 40</w:t>
            </w:r>
          </w:p>
        </w:tc>
        <w:tc>
          <w:tcPr>
            <w:tcW w:type="dxa" w:w="6624"/>
            <w:tcMar>
              <w:top w:w="100" w:type="dxa"/>
              <w:bottom w:w="100" w:type="dxa"/>
              <w:start w:w="160" w:type="dxa"/>
              <w:end w:w="160" w:type="dxa"/>
            </w:tcMar>
          </w:tcPr>
          <w:p>
            <w:pPr>
              <w:spacing w:after="0"/>
            </w:pPr>
            <w:r>
              <w:rPr>
                <w:rFonts w:ascii="Calibri" w:hAnsi="Calibri"/>
                <w:b w:val="0"/>
                <w:i w:val="0"/>
                <w:color w:val="101828"/>
                <w:sz w:val="22"/>
              </w:rPr>
              <w:t>Needs significant improvement.</w:t>
            </w:r>
          </w:p>
        </w:tc>
      </w:tr>
    </w:tbl>
    <w:p>
      <w:pPr>
        <w:spacing w:after="40"/>
      </w:pPr>
    </w:p>
    <w:tbl>
      <w:tblPr>
        <w:tblW w:type="auto" w:w="0"/>
        <w:jc w:val="center"/>
        <w:tblLayout w:type="autofit"/>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9648"/>
            <w:shd w:val="clear" w:color="auto" w:fill="ECFDF3"/>
            <w:tcBorders>
              <w:left w:val="single" w:sz="24" w:space="0" w:color="067647"/>
            </w:tcBorders>
            <w:tcMar>
              <w:top w:w="100" w:type="dxa"/>
              <w:bottom w:w="100" w:type="dxa"/>
              <w:start w:w="160" w:type="dxa"/>
              <w:end w:w="160" w:type="dxa"/>
            </w:tcMar>
          </w:tcPr>
          <w:p>
            <w:pPr>
              <w:spacing w:after="60"/>
            </w:pPr>
            <w:r/>
            <w:r>
              <w:rPr>
                <w:rFonts w:ascii="Calibri" w:hAnsi="Calibri"/>
                <w:b/>
                <w:i w:val="0"/>
                <w:color w:val="067647"/>
                <w:sz w:val="22"/>
              </w:rPr>
              <w:t>What does NOT count against you</w:t>
            </w:r>
          </w:p>
          <w:p>
            <w:pPr>
              <w:spacing w:after="40"/>
            </w:pPr>
            <w:r>
              <w:rPr>
                <w:rFonts w:ascii="Calibri" w:hAnsi="Calibri"/>
                <w:b/>
                <w:i w:val="0"/>
                <w:color w:val="067647"/>
                <w:sz w:val="22"/>
              </w:rPr>
              <w:t xml:space="preserve">Not quoting a price on the call.  </w:t>
            </w:r>
            <w:r>
              <w:rPr>
                <w:rFonts w:ascii="Calibri" w:hAnsi="Calibri"/>
                <w:b w:val="0"/>
                <w:i w:val="0"/>
                <w:color w:val="101828"/>
                <w:sz w:val="22"/>
              </w:rPr>
              <w:t>Pricing belongs in the written proposal. It only hurts if the prospect asked directly and the rep dodged it.</w:t>
            </w:r>
          </w:p>
          <w:p>
            <w:pPr>
              <w:spacing w:after="40"/>
            </w:pPr>
            <w:r>
              <w:rPr>
                <w:rFonts w:ascii="Calibri" w:hAnsi="Calibri"/>
                <w:b/>
                <w:i w:val="0"/>
                <w:color w:val="067647"/>
                <w:sz w:val="22"/>
              </w:rPr>
              <w:t xml:space="preserve">The client asking questions or changing scope.  </w:t>
            </w:r>
            <w:r>
              <w:rPr>
                <w:rFonts w:ascii="Calibri" w:hAnsi="Calibri"/>
                <w:b w:val="0"/>
                <w:i w:val="0"/>
                <w:color w:val="101828"/>
                <w:sz w:val="22"/>
              </w:rPr>
              <w:t>That’s normal and healthy. Only mishandling it — dismissing, over-promising, or leaving it with no owner — costs points.</w:t>
            </w:r>
          </w:p>
        </w:tc>
      </w:tr>
    </w:tbl>
    <w:p>
      <w:pPr>
        <w:spacing w:after="40"/>
      </w:pPr>
    </w:p>
    <w:tbl>
      <w:tblPr>
        <w:tblW w:type="auto" w:w="0"/>
        <w:jc w:val="center"/>
        <w:tblLayout w:type="autofit"/>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9648"/>
            <w:shd w:val="clear" w:color="auto" w:fill="FEF3F2"/>
            <w:tcBorders>
              <w:left w:val="single" w:sz="24" w:space="0" w:color="B42318"/>
            </w:tcBorders>
            <w:tcMar>
              <w:top w:w="100" w:type="dxa"/>
              <w:bottom w:w="100" w:type="dxa"/>
              <w:start w:w="160" w:type="dxa"/>
              <w:end w:w="160" w:type="dxa"/>
            </w:tcMar>
          </w:tcPr>
          <w:p>
            <w:pPr>
              <w:spacing w:after="60"/>
            </w:pPr>
            <w:r/>
            <w:r>
              <w:rPr>
                <w:rFonts w:ascii="Calibri" w:hAnsi="Calibri"/>
                <w:b/>
                <w:i w:val="0"/>
                <w:color w:val="B42318"/>
                <w:sz w:val="22"/>
              </w:rPr>
              <w:t>What DOES pull the score down</w:t>
            </w:r>
          </w:p>
          <w:p>
            <w:pPr>
              <w:spacing w:after="40"/>
            </w:pPr>
            <w:r>
              <w:rPr>
                <w:rFonts w:ascii="Calibri" w:hAnsi="Calibri"/>
                <w:b w:val="0"/>
                <w:i w:val="0"/>
                <w:color w:val="101828"/>
                <w:sz w:val="22"/>
              </w:rPr>
              <w:t>Pitching before discovering the need.</w:t>
            </w:r>
          </w:p>
          <w:p>
            <w:pPr>
              <w:spacing w:after="40"/>
            </w:pPr>
            <w:r>
              <w:rPr>
                <w:rFonts w:ascii="Calibri" w:hAnsi="Calibri"/>
                <w:b w:val="0"/>
                <w:i w:val="0"/>
                <w:color w:val="101828"/>
                <w:sz w:val="22"/>
              </w:rPr>
              <w:t>Agreeing to something with no owner and no date.</w:t>
            </w:r>
          </w:p>
          <w:p>
            <w:pPr>
              <w:spacing w:after="40"/>
            </w:pPr>
            <w:r>
              <w:rPr>
                <w:rFonts w:ascii="Calibri" w:hAnsi="Calibri"/>
                <w:b w:val="0"/>
                <w:i w:val="0"/>
                <w:color w:val="101828"/>
                <w:sz w:val="22"/>
              </w:rPr>
              <w:t>Dismissing a concern instead of exploring it.</w:t>
            </w:r>
          </w:p>
          <w:p>
            <w:pPr>
              <w:spacing w:after="40"/>
            </w:pPr>
            <w:r>
              <w:rPr>
                <w:rFonts w:ascii="Calibri" w:hAnsi="Calibri"/>
                <w:b w:val="0"/>
                <w:i w:val="0"/>
                <w:color w:val="101828"/>
                <w:sz w:val="22"/>
              </w:rPr>
              <w:t>Over-promising or giving wrong information.</w:t>
            </w:r>
          </w:p>
          <w:p>
            <w:pPr>
              <w:spacing w:after="40"/>
            </w:pPr>
            <w:r>
              <w:rPr>
                <w:rFonts w:ascii="Calibri" w:hAnsi="Calibri"/>
                <w:b w:val="0"/>
                <w:i w:val="0"/>
                <w:color w:val="101828"/>
                <w:sz w:val="22"/>
              </w:rPr>
              <w:t>Ending the call vague.</w:t>
            </w:r>
          </w:p>
        </w:tc>
      </w:tr>
    </w:tbl>
    <w:p>
      <w:pPr>
        <w:spacing w:after="40"/>
      </w:pPr>
    </w:p>
    <w:tbl>
      <w:tblPr>
        <w:tblW w:type="auto" w:w="0"/>
        <w:jc w:val="center"/>
        <w:tblLayout w:type="autofit"/>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9648"/>
            <w:shd w:val="clear" w:color="auto" w:fill="EAF2FE"/>
            <w:tcBorders>
              <w:left w:val="single" w:sz="24" w:space="0" w:color="0B40C1"/>
            </w:tcBorders>
            <w:tcMar>
              <w:top w:w="100" w:type="dxa"/>
              <w:bottom w:w="100" w:type="dxa"/>
              <w:start w:w="160" w:type="dxa"/>
              <w:end w:w="160" w:type="dxa"/>
            </w:tcMar>
          </w:tcPr>
          <w:p>
            <w:pPr>
              <w:spacing w:after="60"/>
            </w:pPr>
            <w:r/>
            <w:r>
              <w:rPr>
                <w:rFonts w:ascii="Calibri" w:hAnsi="Calibri"/>
                <w:b/>
                <w:i w:val="0"/>
                <w:color w:val="0B40C1"/>
                <w:sz w:val="22"/>
              </w:rPr>
              <w:t>A realistic target</w:t>
            </w:r>
          </w:p>
          <w:p>
            <w:pPr>
              <w:spacing w:after="40"/>
            </w:pPr>
            <w:r>
              <w:rPr>
                <w:rFonts w:ascii="Calibri" w:hAnsi="Calibri"/>
                <w:b w:val="0"/>
                <w:i w:val="0"/>
                <w:color w:val="101828"/>
                <w:sz w:val="22"/>
              </w:rPr>
              <w:t>Aim for the 80+ band, not a perfect 100. The score is an expert judgement, so the same call might come back 88 or 92 — that’s fine. The real gold is your Improvement Plan: fix your top recurring gap each week and the scores rise on their own.</w:t>
            </w:r>
          </w:p>
        </w:tc>
      </w:tr>
    </w:tbl>
    <w:p>
      <w:pPr>
        <w:spacing w:after="40"/>
      </w:pPr>
    </w:p>
    <w:p/>
    <w:p>
      <w:pPr>
        <w:pStyle w:val="Heading1"/>
      </w:pPr>
      <w:r>
        <w:t>14.  Failed calls &amp; the recovery page</w:t>
      </w:r>
    </w:p>
    <w:p>
      <w:pPr>
        <w:spacing w:after="120" w:before="0"/>
      </w:pPr>
      <w:r>
        <w:rPr>
          <w:rFonts w:ascii="Calibri" w:hAnsi="Calibri"/>
          <w:b w:val="0"/>
          <w:i w:val="0"/>
          <w:color w:val="101828"/>
          <w:sz w:val="22"/>
        </w:rPr>
        <w:t>Very occasionally a call comes in but the automatic analysis can’t finish — a temporary hiccup. When that happens, nothing is lost. The call and its transcript are saved safely and set aside on a separate Recovery page so they never clutter your real numbers.</w:t>
      </w:r>
    </w:p>
    <w:p>
      <w:pPr>
        <w:spacing w:after="120" w:before="0"/>
      </w:pPr>
      <w:r>
        <w:rPr>
          <w:rFonts w:ascii="Calibri" w:hAnsi="Calibri"/>
          <w:b w:val="0"/>
          <w:i w:val="0"/>
          <w:color w:val="101828"/>
          <w:sz w:val="22"/>
        </w:rPr>
        <w:t>You’ll know because a red banner appears on the dashboard: “Some calls came in but could not be analyzed.” Choose Open recovery page.</w:t>
      </w:r>
    </w:p>
    <w:p>
      <w:pPr>
        <w:pStyle w:val="ListNumber"/>
        <w:spacing w:after="60"/>
      </w:pPr>
      <w:r>
        <w:rPr>
          <w:rFonts w:ascii="Calibri" w:hAnsi="Calibri"/>
          <w:b w:val="0"/>
          <w:i w:val="0"/>
          <w:color w:val="101828"/>
          <w:sz w:val="22"/>
        </w:rPr>
        <w:t>The recovery page lists each affected call, with the reason it didn’t finish.</w:t>
      </w:r>
    </w:p>
    <w:p>
      <w:pPr>
        <w:pStyle w:val="ListNumber"/>
        <w:spacing w:after="60"/>
      </w:pPr>
      <w:r>
        <w:rPr>
          <w:rFonts w:ascii="Calibri" w:hAnsi="Calibri"/>
          <w:b w:val="0"/>
          <w:i w:val="0"/>
          <w:color w:val="101828"/>
          <w:sz w:val="22"/>
        </w:rPr>
        <w:t>Choose Re-submit on a call to try the analysis again from the saved transcript.</w:t>
      </w:r>
    </w:p>
    <w:p>
      <w:pPr>
        <w:pStyle w:val="ListNumber"/>
        <w:spacing w:after="60"/>
      </w:pPr>
      <w:r>
        <w:rPr>
          <w:rFonts w:ascii="Calibri" w:hAnsi="Calibri"/>
          <w:b w:val="0"/>
          <w:i w:val="0"/>
          <w:color w:val="101828"/>
          <w:sz w:val="22"/>
        </w:rPr>
        <w:t>Or choose Re-submit all to work through them in one go.</w:t>
      </w:r>
    </w:p>
    <w:p>
      <w:pPr>
        <w:pStyle w:val="ListNumber"/>
        <w:spacing w:after="60"/>
      </w:pPr>
      <w:r>
        <w:rPr>
          <w:rFonts w:ascii="Calibri" w:hAnsi="Calibri"/>
          <w:b w:val="0"/>
          <w:i w:val="0"/>
          <w:color w:val="101828"/>
          <w:sz w:val="22"/>
        </w:rPr>
        <w:t>When it succeeds, the call turns green and rejoins your dashboard automatically.</w:t>
      </w:r>
    </w:p>
    <w:tbl>
      <w:tblPr>
        <w:tblW w:type="auto" w:w="0"/>
        <w:jc w:val="center"/>
        <w:tblLayout w:type="autofit"/>
        <w:tblLook w:firstColumn="1" w:firstRow="1" w:lastColumn="0" w:lastRow="0" w:noHBand="0" w:noVBand="1" w:val="04A0"/>
        <w:tblBorders>
          <w:top w:val="none"/>
          <w:left w:val="none"/>
          <w:bottom w:val="none"/>
          <w:right w:val="none"/>
          <w:insideH w:val="none"/>
          <w:insideV w:val="none"/>
        </w:tblBorders>
      </w:tblPr>
      <w:tblGrid>
        <w:gridCol w:w="9648"/>
      </w:tblGrid>
      <w:tr>
        <w:tc>
          <w:tcPr>
            <w:tcW w:type="dxa" w:w="9648"/>
            <w:shd w:val="clear" w:color="auto" w:fill="FFFAEB"/>
            <w:tcBorders>
              <w:left w:val="single" w:sz="24" w:space="0" w:color="B54708"/>
            </w:tcBorders>
            <w:tcMar>
              <w:top w:w="100" w:type="dxa"/>
              <w:bottom w:w="100" w:type="dxa"/>
              <w:start w:w="160" w:type="dxa"/>
              <w:end w:w="160" w:type="dxa"/>
            </w:tcMar>
          </w:tcPr>
          <w:p>
            <w:pPr>
              <w:spacing w:after="60"/>
            </w:pPr>
            <w:r/>
            <w:r>
              <w:rPr>
                <w:rFonts w:ascii="Calibri" w:hAnsi="Calibri"/>
                <w:b/>
                <w:i w:val="0"/>
                <w:color w:val="B54708"/>
                <w:sz w:val="22"/>
              </w:rPr>
              <w:t>Reassurance</w:t>
            </w:r>
          </w:p>
          <w:p>
            <w:pPr>
              <w:spacing w:after="40"/>
            </w:pPr>
            <w:r>
              <w:rPr>
                <w:rFonts w:ascii="Calibri" w:hAnsi="Calibri"/>
                <w:b w:val="0"/>
                <w:i w:val="0"/>
                <w:color w:val="101828"/>
                <w:sz w:val="22"/>
              </w:rPr>
              <w:t>Failed calls are kept out of every score and average until they’re recovered, so a hiccup never drags your numbers down. If a call can’t be recovered after several tries, it stays safely on the page for someone to look into — it is never silently deleted.</w:t>
            </w:r>
          </w:p>
        </w:tc>
      </w:tr>
    </w:tbl>
    <w:p>
      <w:pPr>
        <w:spacing w:after="40"/>
      </w:pPr>
    </w:p>
    <w:p/>
    <w:p>
      <w:pPr>
        <w:pStyle w:val="Heading1"/>
      </w:pPr>
      <w:r>
        <w:t>15.  For administrators</w:t>
      </w:r>
    </w:p>
    <w:p>
      <w:pPr>
        <w:spacing w:after="120" w:before="0"/>
      </w:pPr>
      <w:r>
        <w:rPr>
          <w:rFonts w:ascii="Calibri" w:hAnsi="Calibri"/>
          <w:b w:val="0"/>
          <w:i w:val="0"/>
          <w:color w:val="101828"/>
          <w:sz w:val="22"/>
        </w:rPr>
        <w:t>If you’re an Org Admin, you have an Admin console (the Admin link in the top bar) for running your team. In plain terms, it lets you:</w:t>
      </w:r>
    </w:p>
    <w:tbl>
      <w:tblPr>
        <w:tblStyle w:val="TableGrid"/>
        <w:tblW w:type="auto" w:w="0"/>
        <w:jc w:val="center"/>
        <w:tblLook w:firstColumn="1" w:firstRow="1" w:lastColumn="0" w:lastRow="0" w:noHBand="0" w:noVBand="1" w:val="04A0"/>
      </w:tblPr>
      <w:tblGrid>
        <w:gridCol w:w="4824"/>
        <w:gridCol w:w="4824"/>
      </w:tblGrid>
      <w:tr>
        <w:tc>
          <w:tcPr>
            <w:tcW w:type="dxa" w:w="2880"/>
            <w:shd w:val="clear" w:color="auto" w:fill="0B40C1"/>
            <w:tcMar>
              <w:top w:w="100" w:type="dxa"/>
              <w:bottom w:w="100" w:type="dxa"/>
              <w:start w:w="160" w:type="dxa"/>
              <w:end w:w="160" w:type="dxa"/>
            </w:tcMar>
          </w:tcPr>
          <w:p>
            <w:pPr>
              <w:spacing w:after="0"/>
            </w:pPr>
            <w:r>
              <w:rPr>
                <w:rFonts w:ascii="Calibri" w:hAnsi="Calibri"/>
                <w:b/>
                <w:i w:val="0"/>
                <w:color w:val="FFFFFF"/>
                <w:sz w:val="22"/>
              </w:rPr>
              <w:t>You can</w:t>
            </w:r>
          </w:p>
        </w:tc>
        <w:tc>
          <w:tcPr>
            <w:tcW w:type="dxa" w:w="6624"/>
            <w:shd w:val="clear" w:color="auto" w:fill="0B40C1"/>
            <w:tcMar>
              <w:top w:w="100" w:type="dxa"/>
              <w:bottom w:w="100" w:type="dxa"/>
              <w:start w:w="160" w:type="dxa"/>
              <w:end w:w="160" w:type="dxa"/>
            </w:tcMar>
          </w:tcPr>
          <w:p>
            <w:pPr>
              <w:spacing w:after="0"/>
            </w:pPr>
            <w:r>
              <w:rPr>
                <w:rFonts w:ascii="Calibri" w:hAnsi="Calibri"/>
                <w:b/>
                <w:i w:val="0"/>
                <w:color w:val="FFFFFF"/>
                <w:sz w:val="22"/>
              </w:rPr>
              <w:t>What it means</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Add team members</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Create an account for a new rep and share their one-time password. They sign in and set their own.</w:t>
            </w:r>
          </w:p>
        </w:tc>
      </w:tr>
      <w:tr>
        <w:tc>
          <w:tcPr>
            <w:tcW w:type="dxa" w:w="2880"/>
            <w:tcMar>
              <w:top w:w="100" w:type="dxa"/>
              <w:bottom w:w="100" w:type="dxa"/>
              <w:start w:w="160" w:type="dxa"/>
              <w:end w:w="160" w:type="dxa"/>
            </w:tcMar>
          </w:tcPr>
          <w:p>
            <w:pPr>
              <w:spacing w:after="0"/>
            </w:pPr>
            <w:r>
              <w:rPr>
                <w:rFonts w:ascii="Calibri" w:hAnsi="Calibri"/>
                <w:b/>
                <w:i w:val="0"/>
                <w:color w:val="0B40C1"/>
                <w:sz w:val="22"/>
              </w:rPr>
              <w:t>Manage people</w:t>
            </w:r>
          </w:p>
        </w:tc>
        <w:tc>
          <w:tcPr>
            <w:tcW w:type="dxa" w:w="6624"/>
            <w:tcMar>
              <w:top w:w="100" w:type="dxa"/>
              <w:bottom w:w="100" w:type="dxa"/>
              <w:start w:w="160" w:type="dxa"/>
              <w:end w:w="160" w:type="dxa"/>
            </w:tcMar>
          </w:tcPr>
          <w:p>
            <w:pPr>
              <w:spacing w:after="0"/>
            </w:pPr>
            <w:r>
              <w:rPr>
                <w:rFonts w:ascii="Calibri" w:hAnsi="Calibri"/>
                <w:b w:val="0"/>
                <w:i w:val="0"/>
                <w:color w:val="101828"/>
                <w:sz w:val="22"/>
              </w:rPr>
              <w:t>Suspend, reactivate or update members as your team changes.</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Create roles</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Beyond the built-in roles, make your own (e.g. “Team Lead”) and name it.</w:t>
            </w:r>
          </w:p>
        </w:tc>
      </w:tr>
      <w:tr>
        <w:tc>
          <w:tcPr>
            <w:tcW w:type="dxa" w:w="2880"/>
            <w:tcMar>
              <w:top w:w="100" w:type="dxa"/>
              <w:bottom w:w="100" w:type="dxa"/>
              <w:start w:w="160" w:type="dxa"/>
              <w:end w:w="160" w:type="dxa"/>
            </w:tcMar>
          </w:tcPr>
          <w:p>
            <w:pPr>
              <w:spacing w:after="0"/>
            </w:pPr>
            <w:r>
              <w:rPr>
                <w:rFonts w:ascii="Calibri" w:hAnsi="Calibri"/>
                <w:b/>
                <w:i w:val="0"/>
                <w:color w:val="0B40C1"/>
                <w:sz w:val="22"/>
              </w:rPr>
              <w:t>Set permissions</w:t>
            </w:r>
          </w:p>
        </w:tc>
        <w:tc>
          <w:tcPr>
            <w:tcW w:type="dxa" w:w="6624"/>
            <w:tcMar>
              <w:top w:w="100" w:type="dxa"/>
              <w:bottom w:w="100" w:type="dxa"/>
              <w:start w:w="160" w:type="dxa"/>
              <w:end w:w="160" w:type="dxa"/>
            </w:tcMar>
          </w:tcPr>
          <w:p>
            <w:pPr>
              <w:spacing w:after="0"/>
            </w:pPr>
            <w:r>
              <w:rPr>
                <w:rFonts w:ascii="Calibri" w:hAnsi="Calibri"/>
                <w:b w:val="0"/>
                <w:i w:val="0"/>
                <w:color w:val="101828"/>
                <w:sz w:val="22"/>
              </w:rPr>
              <w:t>Decide, per role, which parts of the dashboard and which actions each group can use.</w:t>
            </w:r>
          </w:p>
        </w:tc>
      </w:tr>
      <w:tr>
        <w:tc>
          <w:tcPr>
            <w:tcW w:type="dxa" w:w="2880"/>
            <w:tcMar>
              <w:top w:w="100" w:type="dxa"/>
              <w:bottom w:w="100" w:type="dxa"/>
              <w:start w:w="160" w:type="dxa"/>
              <w:end w:w="160" w:type="dxa"/>
            </w:tcMar>
            <w:shd w:val="clear" w:color="auto" w:fill="F2F4F7"/>
          </w:tcPr>
          <w:p>
            <w:pPr>
              <w:spacing w:after="0"/>
            </w:pPr>
            <w:r>
              <w:rPr>
                <w:rFonts w:ascii="Calibri" w:hAnsi="Calibri"/>
                <w:b/>
                <w:i w:val="0"/>
                <w:color w:val="0B40C1"/>
                <w:sz w:val="22"/>
              </w:rPr>
              <w:t>Fine-tune one person</w:t>
            </w:r>
          </w:p>
        </w:tc>
        <w:tc>
          <w:tcPr>
            <w:tcW w:type="dxa" w:w="6624"/>
            <w:tcMar>
              <w:top w:w="100" w:type="dxa"/>
              <w:bottom w:w="100" w:type="dxa"/>
              <w:start w:w="160" w:type="dxa"/>
              <w:end w:w="160" w:type="dxa"/>
            </w:tcMar>
            <w:shd w:val="clear" w:color="auto" w:fill="F2F4F7"/>
          </w:tcPr>
          <w:p>
            <w:pPr>
              <w:spacing w:after="0"/>
            </w:pPr>
            <w:r>
              <w:rPr>
                <w:rFonts w:ascii="Calibri" w:hAnsi="Calibri"/>
                <w:b w:val="0"/>
                <w:i w:val="0"/>
                <w:color w:val="101828"/>
                <w:sz w:val="22"/>
              </w:rPr>
              <w:t>Give or remove an individual’s access without changing everyone on their role.</w:t>
            </w:r>
          </w:p>
        </w:tc>
      </w:tr>
      <w:tr>
        <w:tc>
          <w:tcPr>
            <w:tcW w:type="dxa" w:w="2880"/>
            <w:tcMar>
              <w:top w:w="100" w:type="dxa"/>
              <w:bottom w:w="100" w:type="dxa"/>
              <w:start w:w="160" w:type="dxa"/>
              <w:end w:w="160" w:type="dxa"/>
            </w:tcMar>
          </w:tcPr>
          <w:p>
            <w:pPr>
              <w:spacing w:after="0"/>
            </w:pPr>
            <w:r>
              <w:rPr>
                <w:rFonts w:ascii="Calibri" w:hAnsi="Calibri"/>
                <w:b/>
                <w:i w:val="0"/>
                <w:color w:val="0B40C1"/>
                <w:sz w:val="22"/>
              </w:rPr>
              <w:t>Organization settings</w:t>
            </w:r>
          </w:p>
        </w:tc>
        <w:tc>
          <w:tcPr>
            <w:tcW w:type="dxa" w:w="6624"/>
            <w:tcMar>
              <w:top w:w="100" w:type="dxa"/>
              <w:bottom w:w="100" w:type="dxa"/>
              <w:start w:w="160" w:type="dxa"/>
              <w:end w:w="160" w:type="dxa"/>
            </w:tcMar>
          </w:tcPr>
          <w:p>
            <w:pPr>
              <w:spacing w:after="0"/>
            </w:pPr>
            <w:r>
              <w:rPr>
                <w:rFonts w:ascii="Calibri" w:hAnsi="Calibri"/>
                <w:b w:val="0"/>
                <w:i w:val="0"/>
                <w:color w:val="101828"/>
                <w:sz w:val="22"/>
              </w:rPr>
              <w:t>Manage your organization’s details and preferences.</w:t>
            </w:r>
          </w:p>
        </w:tc>
      </w:tr>
    </w:tbl>
    <w:p>
      <w:pPr>
        <w:spacing w:after="40"/>
      </w:pPr>
    </w:p>
    <w:p>
      <w:pPr>
        <w:spacing w:after="120" w:before="0"/>
      </w:pPr>
      <w:r>
        <w:rPr>
          <w:rFonts w:ascii="Calibri" w:hAnsi="Calibri"/>
          <w:b w:val="0"/>
          <w:i w:val="0"/>
          <w:color w:val="667085"/>
          <w:sz w:val="20"/>
        </w:rPr>
        <w:t>New organizations that sign up are reviewed and approved by the platform Super Admin before they go live.</w:t>
      </w:r>
    </w:p>
    <w:p/>
    <w:p>
      <w:pPr>
        <w:pStyle w:val="Heading1"/>
      </w:pPr>
      <w:r>
        <w:t>16.  Everyday tips &amp; pre-call checklist</w:t>
      </w:r>
    </w:p>
    <w:p>
      <w:pPr>
        <w:pStyle w:val="Heading2"/>
      </w:pPr>
      <w:r>
        <w:t>Habits that lift scores</w:t>
      </w:r>
    </w:p>
    <w:p>
      <w:pPr>
        <w:pStyle w:val="ListBullet"/>
        <w:spacing w:after="60"/>
      </w:pPr>
      <w:r>
        <w:rPr>
          <w:rFonts w:ascii="Calibri" w:hAnsi="Calibri"/>
          <w:b w:val="0"/>
          <w:i w:val="0"/>
          <w:color w:val="101828"/>
          <w:sz w:val="22"/>
        </w:rPr>
        <w:t>Record every call — no recording means no analysis.</w:t>
      </w:r>
    </w:p>
    <w:p>
      <w:pPr>
        <w:pStyle w:val="ListBullet"/>
        <w:spacing w:after="60"/>
      </w:pPr>
      <w:r>
        <w:rPr>
          <w:rFonts w:ascii="Calibri" w:hAnsi="Calibri"/>
          <w:b w:val="0"/>
          <w:i w:val="0"/>
          <w:color w:val="101828"/>
          <w:sz w:val="22"/>
        </w:rPr>
        <w:t>Discover before you pitch. It’s the single biggest score-mover.</w:t>
      </w:r>
    </w:p>
    <w:p>
      <w:pPr>
        <w:pStyle w:val="ListBullet"/>
        <w:spacing w:after="60"/>
      </w:pPr>
      <w:r>
        <w:rPr>
          <w:rFonts w:ascii="Calibri" w:hAnsi="Calibri"/>
          <w:b w:val="0"/>
          <w:i w:val="0"/>
          <w:color w:val="101828"/>
          <w:sz w:val="22"/>
        </w:rPr>
        <w:t>Never end a call without an agreed next step, owner and date.</w:t>
      </w:r>
    </w:p>
    <w:p>
      <w:pPr>
        <w:pStyle w:val="ListBullet"/>
        <w:spacing w:after="60"/>
      </w:pPr>
      <w:r>
        <w:rPr>
          <w:rFonts w:ascii="Calibri" w:hAnsi="Calibri"/>
          <w:b w:val="0"/>
          <w:i w:val="0"/>
          <w:color w:val="101828"/>
          <w:sz w:val="22"/>
        </w:rPr>
        <w:t>Read your Improvement Plan weekly and fix your top gap.</w:t>
      </w:r>
    </w:p>
    <w:p>
      <w:pPr>
        <w:pStyle w:val="ListBullet"/>
        <w:spacing w:after="60"/>
      </w:pPr>
      <w:r>
        <w:rPr>
          <w:rFonts w:ascii="Calibri" w:hAnsi="Calibri"/>
          <w:b w:val="0"/>
          <w:i w:val="0"/>
          <w:color w:val="101828"/>
          <w:sz w:val="22"/>
        </w:rPr>
        <w:t>Use the ready-made follow-up while the call is still fresh.</w:t>
      </w:r>
    </w:p>
    <w:p>
      <w:pPr>
        <w:pStyle w:val="Heading2"/>
      </w:pPr>
      <w:r>
        <w:t>Pre-call checklist</w:t>
      </w:r>
    </w:p>
    <w:p>
      <w:pPr>
        <w:spacing w:after="60"/>
      </w:pPr>
      <w:r>
        <w:rPr>
          <w:rFonts w:ascii="Calibri" w:hAnsi="Calibri"/>
          <w:b w:val="0"/>
          <w:i w:val="0"/>
          <w:color w:val="1570EF"/>
          <w:sz w:val="26"/>
        </w:rPr>
        <w:t xml:space="preserve">☐  </w:t>
      </w:r>
      <w:r>
        <w:rPr>
          <w:rFonts w:ascii="Calibri" w:hAnsi="Calibri"/>
          <w:b w:val="0"/>
          <w:i w:val="0"/>
          <w:color w:val="101828"/>
          <w:sz w:val="22"/>
        </w:rPr>
        <w:t>Rapport before pitch.</w:t>
      </w:r>
    </w:p>
    <w:p>
      <w:pPr>
        <w:spacing w:after="60"/>
      </w:pPr>
      <w:r>
        <w:rPr>
          <w:rFonts w:ascii="Calibri" w:hAnsi="Calibri"/>
          <w:b w:val="0"/>
          <w:i w:val="0"/>
          <w:color w:val="1570EF"/>
          <w:sz w:val="26"/>
        </w:rPr>
        <w:t xml:space="preserve">☐  </w:t>
      </w:r>
      <w:r>
        <w:rPr>
          <w:rFonts w:ascii="Calibri" w:hAnsi="Calibri"/>
          <w:b w:val="0"/>
          <w:i w:val="0"/>
          <w:color w:val="101828"/>
          <w:sz w:val="22"/>
        </w:rPr>
        <w:t>Three or more discovery questions before presenting anything.</w:t>
      </w:r>
    </w:p>
    <w:p>
      <w:pPr>
        <w:spacing w:after="60"/>
      </w:pPr>
      <w:r>
        <w:rPr>
          <w:rFonts w:ascii="Calibri" w:hAnsi="Calibri"/>
          <w:b w:val="0"/>
          <w:i w:val="0"/>
          <w:color w:val="1570EF"/>
          <w:sz w:val="26"/>
        </w:rPr>
        <w:t xml:space="preserve">☐  </w:t>
      </w:r>
      <w:r>
        <w:rPr>
          <w:rFonts w:ascii="Calibri" w:hAnsi="Calibri"/>
          <w:b w:val="0"/>
          <w:i w:val="0"/>
          <w:color w:val="101828"/>
          <w:sz w:val="22"/>
        </w:rPr>
        <w:t>Decision maker and timeline confirmed.</w:t>
      </w:r>
    </w:p>
    <w:p>
      <w:pPr>
        <w:spacing w:after="60"/>
      </w:pPr>
      <w:r>
        <w:rPr>
          <w:rFonts w:ascii="Calibri" w:hAnsi="Calibri"/>
          <w:b w:val="0"/>
          <w:i w:val="0"/>
          <w:color w:val="1570EF"/>
          <w:sz w:val="26"/>
        </w:rPr>
        <w:t xml:space="preserve">☐  </w:t>
      </w:r>
      <w:r>
        <w:rPr>
          <w:rFonts w:ascii="Calibri" w:hAnsi="Calibri"/>
          <w:b w:val="0"/>
          <w:i w:val="0"/>
          <w:color w:val="101828"/>
          <w:sz w:val="22"/>
        </w:rPr>
        <w:t>Every point tied back to something they said.</w:t>
      </w:r>
    </w:p>
    <w:p>
      <w:pPr>
        <w:spacing w:after="60"/>
      </w:pPr>
      <w:r>
        <w:rPr>
          <w:rFonts w:ascii="Calibri" w:hAnsi="Calibri"/>
          <w:b w:val="0"/>
          <w:i w:val="0"/>
          <w:color w:val="1570EF"/>
          <w:sz w:val="26"/>
        </w:rPr>
        <w:t xml:space="preserve">☐  </w:t>
      </w:r>
      <w:r>
        <w:rPr>
          <w:rFonts w:ascii="Calibri" w:hAnsi="Calibri"/>
          <w:b w:val="0"/>
          <w:i w:val="0"/>
          <w:color w:val="101828"/>
          <w:sz w:val="22"/>
        </w:rPr>
        <w:t>I asked for the business.</w:t>
      </w:r>
    </w:p>
    <w:p>
      <w:pPr>
        <w:spacing w:after="60"/>
      </w:pPr>
      <w:r>
        <w:rPr>
          <w:rFonts w:ascii="Calibri" w:hAnsi="Calibri"/>
          <w:b w:val="0"/>
          <w:i w:val="0"/>
          <w:color w:val="1570EF"/>
          <w:sz w:val="26"/>
        </w:rPr>
        <w:t xml:space="preserve">☐  </w:t>
      </w:r>
      <w:r>
        <w:rPr>
          <w:rFonts w:ascii="Calibri" w:hAnsi="Calibri"/>
          <w:b w:val="0"/>
          <w:i w:val="0"/>
          <w:color w:val="101828"/>
          <w:sz w:val="22"/>
        </w:rPr>
        <w:t>Next step agreed out loud: action + owner + date.</w:t>
      </w:r>
    </w:p>
    <w:p/>
    <w:p>
      <w:pPr>
        <w:pStyle w:val="Heading1"/>
      </w:pPr>
      <w:r>
        <w:t>17.  Questions &amp; quick fixes</w:t>
      </w:r>
    </w:p>
    <w:p>
      <w:pPr>
        <w:spacing w:after="40" w:before="120"/>
      </w:pPr>
      <w:r>
        <w:rPr>
          <w:rFonts w:ascii="Calibri" w:hAnsi="Calibri"/>
          <w:b/>
          <w:i w:val="0"/>
          <w:color w:val="0B40C1"/>
          <w:sz w:val="24"/>
        </w:rPr>
        <w:t>My call isn’t showing up.</w:t>
      </w:r>
    </w:p>
    <w:p>
      <w:pPr>
        <w:spacing w:after="80" w:before="0"/>
      </w:pPr>
      <w:r>
        <w:rPr>
          <w:rFonts w:ascii="Calibri" w:hAnsi="Calibri"/>
          <w:b w:val="0"/>
          <w:i w:val="0"/>
          <w:color w:val="101828"/>
          <w:sz w:val="22"/>
        </w:rPr>
        <w:t>Give it time. Zoom needs about 5–15 minutes after the call to finish the recording, and the call must have been recorded. Refresh the dashboard after a short wait. Check your date range is wide enough, too.</w:t>
      </w:r>
    </w:p>
    <w:p>
      <w:pPr>
        <w:spacing w:after="40" w:before="120"/>
      </w:pPr>
      <w:r>
        <w:rPr>
          <w:rFonts w:ascii="Calibri" w:hAnsi="Calibri"/>
          <w:b/>
          <w:i w:val="0"/>
          <w:color w:val="0B40C1"/>
          <w:sz w:val="24"/>
        </w:rPr>
        <w:t>The score looks low — why?</w:t>
      </w:r>
    </w:p>
    <w:p>
      <w:pPr>
        <w:spacing w:after="80" w:before="0"/>
      </w:pPr>
      <w:r>
        <w:rPr>
          <w:rFonts w:ascii="Calibri" w:hAnsi="Calibri"/>
          <w:b w:val="0"/>
          <w:i w:val="0"/>
          <w:color w:val="101828"/>
          <w:sz w:val="22"/>
        </w:rPr>
        <w:t>Open the call and read “Areas to improve” and “Missed Moments.” They explain exactly what lost points. Section 13 lists the eight things that drive the score.</w:t>
      </w:r>
    </w:p>
    <w:p>
      <w:pPr>
        <w:spacing w:after="40" w:before="120"/>
      </w:pPr>
      <w:r>
        <w:rPr>
          <w:rFonts w:ascii="Calibri" w:hAnsi="Calibri"/>
          <w:b/>
          <w:i w:val="0"/>
          <w:color w:val="0B40C1"/>
          <w:sz w:val="24"/>
        </w:rPr>
        <w:t>The deal stage is wrong.</w:t>
      </w:r>
    </w:p>
    <w:p>
      <w:pPr>
        <w:spacing w:after="80" w:before="0"/>
      </w:pPr>
      <w:r>
        <w:rPr>
          <w:rFonts w:ascii="Calibri" w:hAnsi="Calibri"/>
          <w:b w:val="0"/>
          <w:i w:val="0"/>
          <w:color w:val="101828"/>
          <w:sz w:val="22"/>
        </w:rPr>
        <w:t>Open the call and pick the correct stage from the dropdown next to the score. Your choice sticks (section 8).</w:t>
      </w:r>
    </w:p>
    <w:p>
      <w:pPr>
        <w:spacing w:after="40" w:before="120"/>
      </w:pPr>
      <w:r>
        <w:rPr>
          <w:rFonts w:ascii="Calibri" w:hAnsi="Calibri"/>
          <w:b/>
          <w:i w:val="0"/>
          <w:color w:val="0B40C1"/>
          <w:sz w:val="24"/>
        </w:rPr>
        <w:t>I can only see my own calls.</w:t>
      </w:r>
    </w:p>
    <w:p>
      <w:pPr>
        <w:spacing w:after="80" w:before="0"/>
      </w:pPr>
      <w:r>
        <w:rPr>
          <w:rFonts w:ascii="Calibri" w:hAnsi="Calibri"/>
          <w:b w:val="0"/>
          <w:i w:val="0"/>
          <w:color w:val="101828"/>
          <w:sz w:val="22"/>
        </w:rPr>
        <w:t>That’s your role. Sales Reps see only their own calls by design. A manager or admin sees the whole team.</w:t>
      </w:r>
    </w:p>
    <w:p>
      <w:pPr>
        <w:spacing w:after="40" w:before="120"/>
      </w:pPr>
      <w:r>
        <w:rPr>
          <w:rFonts w:ascii="Calibri" w:hAnsi="Calibri"/>
          <w:b/>
          <w:i w:val="0"/>
          <w:color w:val="0B40C1"/>
          <w:sz w:val="24"/>
        </w:rPr>
        <w:t>“Send via GHL” didn’t work.</w:t>
      </w:r>
    </w:p>
    <w:p>
      <w:pPr>
        <w:spacing w:after="80" w:before="0"/>
      </w:pPr>
      <w:r>
        <w:rPr>
          <w:rFonts w:ascii="Calibri" w:hAnsi="Calibri"/>
          <w:b w:val="0"/>
          <w:i w:val="0"/>
          <w:color w:val="101828"/>
          <w:sz w:val="22"/>
        </w:rPr>
        <w:t>Sales Coach couldn’t find a matching contact in GoHighLevel. Add the contact in GHL first, then try again. You can always use Copy and paste it manually.</w:t>
      </w:r>
    </w:p>
    <w:p>
      <w:pPr>
        <w:spacing w:after="40" w:before="120"/>
      </w:pPr>
      <w:r>
        <w:rPr>
          <w:rFonts w:ascii="Calibri" w:hAnsi="Calibri"/>
          <w:b/>
          <w:i w:val="0"/>
          <w:color w:val="0B40C1"/>
          <w:sz w:val="24"/>
        </w:rPr>
        <w:t>A red banner says some calls failed.</w:t>
      </w:r>
    </w:p>
    <w:p>
      <w:pPr>
        <w:spacing w:after="80" w:before="0"/>
      </w:pPr>
      <w:r>
        <w:rPr>
          <w:rFonts w:ascii="Calibri" w:hAnsi="Calibri"/>
          <w:b w:val="0"/>
          <w:i w:val="0"/>
          <w:color w:val="101828"/>
          <w:sz w:val="22"/>
        </w:rPr>
        <w:t>Nothing is lost. Open the recovery page and choose Re-submit (section 14). Those calls aren’t counted in your scores until they recover.</w:t>
      </w:r>
    </w:p>
    <w:p>
      <w:pPr>
        <w:spacing w:after="40" w:before="120"/>
      </w:pPr>
      <w:r>
        <w:rPr>
          <w:rFonts w:ascii="Calibri" w:hAnsi="Calibri"/>
          <w:b/>
          <w:i w:val="0"/>
          <w:color w:val="0B40C1"/>
          <w:sz w:val="24"/>
        </w:rPr>
        <w:t>A section in this guide isn’t on my screen.</w:t>
      </w:r>
    </w:p>
    <w:p>
      <w:pPr>
        <w:spacing w:after="80" w:before="0"/>
      </w:pPr>
      <w:r>
        <w:rPr>
          <w:rFonts w:ascii="Calibri" w:hAnsi="Calibri"/>
          <w:b w:val="0"/>
          <w:i w:val="0"/>
          <w:color w:val="101828"/>
          <w:sz w:val="22"/>
        </w:rPr>
        <w:t>Your role may not include it. Ask your administrator to adjust your permissions if you need it.</w:t>
      </w:r>
    </w:p>
    <w:p/>
    <w:p>
      <w:pPr>
        <w:spacing w:after="120" w:before="0"/>
        <w:jc w:val="center"/>
      </w:pPr>
      <w:r>
        <w:rPr>
          <w:rFonts w:ascii="Calibri" w:hAnsi="Calibri"/>
          <w:b w:val="0"/>
          <w:i w:val="0"/>
          <w:color w:val="667085"/>
          <w:sz w:val="22"/>
        </w:rPr>
        <w:t>───</w:t>
      </w:r>
    </w:p>
    <w:p>
      <w:pPr>
        <w:spacing w:after="120" w:before="0"/>
        <w:jc w:val="center"/>
      </w:pPr>
      <w:r>
        <w:rPr>
          <w:rFonts w:ascii="Calibri" w:hAnsi="Calibri"/>
          <w:b w:val="0"/>
          <w:i/>
          <w:color w:val="667085"/>
          <w:sz w:val="22"/>
        </w:rPr>
        <w:t>Sales Coach turns every conversation into your next improvement. Take the call, let the coaching come to you.</w:t>
      </w:r>
    </w:p>
    <w:p>
      <w:pPr>
        <w:spacing w:after="120" w:before="0"/>
        <w:jc w:val="center"/>
      </w:pPr>
      <w:r>
        <w:rPr>
          <w:rFonts w:ascii="Calibri" w:hAnsi="Calibri"/>
          <w:b w:val="0"/>
          <w:i w:val="0"/>
          <w:color w:val="667085"/>
          <w:sz w:val="20"/>
        </w:rPr>
        <w:t>JD Funnel  ·  Sales Intelligence</w:t>
      </w:r>
    </w:p>
    <w:sectPr w:rsidR="00FC693F" w:rsidRPr="0006063C" w:rsidSect="00034616">
      <w:footerReference w:type="default" r:id="rId9"/>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667085"/>
        <w:sz w:val="16"/>
      </w:rPr>
      <w:t xml:space="preserve">Sales Coach — User Guide   ·   Page </w:t>
    </w:r>
    <w:fldSimple w:instr="PAGE">
      <w:r>
        <w:rPr>
          <w:sz w:val="16"/>
        </w:rPr>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1018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0B40C1"/>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570EF"/>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1570E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